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C8" w:rsidRPr="003B6DBD" w:rsidRDefault="009E68C8" w:rsidP="009E68C8">
      <w:pPr>
        <w:pStyle w:val="Nadpis1"/>
        <w:jc w:val="both"/>
      </w:pPr>
      <w:bookmarkStart w:id="0" w:name="_Toc168324716"/>
      <w:bookmarkStart w:id="1" w:name="_Toc168327968"/>
      <w:r w:rsidRPr="003B6DBD">
        <w:t>SKUEV4083 Pod úbočou</w:t>
      </w:r>
      <w:bookmarkEnd w:id="0"/>
      <w:bookmarkEnd w:id="1"/>
    </w:p>
    <w:p w:rsidR="009E68C8" w:rsidRPr="00A451C5" w:rsidRDefault="009E68C8" w:rsidP="009E68C8">
      <w:pPr>
        <w:rPr>
          <w:rFonts w:ascii="Times New Roman" w:hAnsi="Times New Roman" w:cs="Times New Roman"/>
        </w:rPr>
      </w:pPr>
    </w:p>
    <w:p w:rsidR="009E68C8" w:rsidRDefault="009E68C8" w:rsidP="009E68C8">
      <w:pPr>
        <w:pStyle w:val="Zkladntext"/>
        <w:widowControl w:val="0"/>
        <w:spacing w:after="120"/>
        <w:jc w:val="both"/>
        <w:rPr>
          <w:b w:val="0"/>
          <w:lang w:val="sk-SK"/>
        </w:rPr>
      </w:pPr>
      <w:r>
        <w:rPr>
          <w:b w:val="0"/>
          <w:lang w:val="sk-SK"/>
        </w:rPr>
        <w:t>Ciele ochrany:</w:t>
      </w:r>
    </w:p>
    <w:p w:rsidR="009E68C8" w:rsidRPr="00A451C5" w:rsidRDefault="009E68C8" w:rsidP="009E68C8">
      <w:pPr>
        <w:pStyle w:val="Zkladntext"/>
        <w:widowControl w:val="0"/>
        <w:spacing w:after="120"/>
        <w:jc w:val="both"/>
        <w:rPr>
          <w:b w:val="0"/>
        </w:rPr>
      </w:pPr>
      <w:r>
        <w:rPr>
          <w:b w:val="0"/>
          <w:lang w:val="sk-SK"/>
        </w:rPr>
        <w:t xml:space="preserve">Zlepšenie </w:t>
      </w:r>
      <w:r w:rsidRPr="00A451C5">
        <w:rPr>
          <w:b w:val="0"/>
        </w:rPr>
        <w:t>stavu</w:t>
      </w:r>
      <w:r w:rsidRPr="00A451C5">
        <w:t xml:space="preserve"> </w:t>
      </w:r>
      <w:r w:rsidRPr="00A451C5">
        <w:rPr>
          <w:b w:val="0"/>
        </w:rPr>
        <w:t>biotopu</w:t>
      </w:r>
      <w:r w:rsidRPr="00A451C5">
        <w:rPr>
          <w:b w:val="0"/>
          <w:lang w:val="sk-SK"/>
        </w:rPr>
        <w:t xml:space="preserve"> </w:t>
      </w:r>
      <w:r w:rsidRPr="00A451C5">
        <w:rPr>
          <w:lang w:val="sk-SK"/>
        </w:rPr>
        <w:t>Lk1</w:t>
      </w:r>
      <w:r w:rsidRPr="00A451C5">
        <w:t xml:space="preserve"> </w:t>
      </w:r>
      <w:r w:rsidRPr="00A451C5">
        <w:rPr>
          <w:lang w:val="sk-SK"/>
        </w:rPr>
        <w:t>(</w:t>
      </w:r>
      <w:r w:rsidRPr="00A451C5">
        <w:t>6510</w:t>
      </w:r>
      <w:r w:rsidRPr="00A451C5">
        <w:rPr>
          <w:lang w:val="sk-SK"/>
        </w:rPr>
        <w:t>)</w:t>
      </w:r>
      <w:r w:rsidRPr="00A451C5">
        <w:t xml:space="preserve"> Nížinné a podhorské kosné lúky </w:t>
      </w:r>
      <w:r w:rsidRPr="00A451C5">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0"/>
        <w:gridCol w:w="1263"/>
        <w:gridCol w:w="4749"/>
      </w:tblGrid>
      <w:tr w:rsidR="009E68C8" w:rsidRPr="00A451C5" w:rsidTr="0039623C">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Parameter</w:t>
            </w:r>
          </w:p>
        </w:tc>
        <w:tc>
          <w:tcPr>
            <w:tcW w:w="1440"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263"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748"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9E68C8" w:rsidRPr="00A451C5" w:rsidTr="0039623C">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Výmera biotopu</w:t>
            </w:r>
          </w:p>
        </w:tc>
        <w:tc>
          <w:tcPr>
            <w:tcW w:w="14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ha</w:t>
            </w:r>
          </w:p>
        </w:tc>
        <w:tc>
          <w:tcPr>
            <w:tcW w:w="1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4,2</w:t>
            </w:r>
          </w:p>
        </w:tc>
        <w:tc>
          <w:tcPr>
            <w:tcW w:w="4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Udržať výmeru biotopu</w:t>
            </w:r>
          </w:p>
        </w:tc>
      </w:tr>
      <w:tr w:rsidR="009E68C8" w:rsidRPr="00A451C5" w:rsidTr="0039623C">
        <w:trPr>
          <w:trHeight w:val="60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charakteristických druhov</w:t>
            </w:r>
          </w:p>
        </w:tc>
        <w:tc>
          <w:tcPr>
            <w:tcW w:w="14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 druhov/16 m</w:t>
            </w:r>
            <w:r w:rsidRPr="00FC4556">
              <w:rPr>
                <w:rFonts w:ascii="Times New Roman" w:eastAsia="Times New Roman" w:hAnsi="Times New Roman" w:cs="Times New Roman"/>
                <w:sz w:val="18"/>
                <w:szCs w:val="18"/>
                <w:vertAlign w:val="superscript"/>
              </w:rPr>
              <w:t>2</w:t>
            </w:r>
          </w:p>
        </w:tc>
        <w:tc>
          <w:tcPr>
            <w:tcW w:w="1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najmenej 15 druhov</w:t>
            </w:r>
          </w:p>
        </w:tc>
        <w:tc>
          <w:tcPr>
            <w:tcW w:w="4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 xml:space="preserve">Charakteristické/typické druhové zloženie: </w:t>
            </w:r>
            <w:r w:rsidRPr="00FC4556">
              <w:rPr>
                <w:rFonts w:ascii="Times New Roman" w:eastAsia="Times New Roman" w:hAnsi="Times New Roman" w:cs="Times New Roman"/>
                <w:i/>
                <w:sz w:val="18"/>
                <w:szCs w:val="18"/>
              </w:rPr>
              <w:t>Acetosa pratensis, Acetosella vulgaris, Agrimonia eupatoria, Agrostis capillaris, Achillea millefolium, Alchemilla sp., Antoxanthum odoratum, Arrhenatherum elatius, Briza media, Campanula patula, Carex hirta, Carex pallescens,  Carlina acaulis, Carum carvi, Cerastium holosteoides, Colchicum autumnale, Colymbada scabiosa, Crepis biennis, Cruciata glabra, Cynosurus cristatus, Dactylis glomerata, Daucus carota, Deschampsia cespitosa, Equisetum arvense, Festuca pratensis, Festuca rubra,  Galium mollugo agg., Galium verum, Hypericum maculatum, Hypericum perforatum, Jacea phrygia agg.,   Knautia arvensis, Lathyrus pratensis, Leontodon hispidus, Leontodon autumnalis, Leucanthemum vulgare, Linum catharticum, Lotus corniculatus, Luzula campestris, Lychnis flos-cuculi, Medicago lupulina, Myosotis arvensis, Origanum vulgare,  Phleum pratense, Pilosella officinarum, Pimpinella saxifraga, Plantago lanceolata, Plantago media, Poa pratensis, Polygala vulgaris, Potentilla erecta, Potentilla reptans, Prunella vulgaris, Ranunculus acris, Ranunculus polyanthemos, Ranunculus repens, Rhinanthus minor, Silene vulgaris, Stellaria graminea, Taraxacum officinale, Thymus pulegioides, Tithymalus cyparissias, Tragopogon orientalis, Trifolium montanum, Trifolium pratense, Trifolium repens, Trisetum flavescens, Veronica chamaedrys, Vicia cracca, Vicia sepium</w:t>
            </w:r>
          </w:p>
        </w:tc>
      </w:tr>
      <w:tr w:rsidR="009E68C8" w:rsidRPr="00A451C5" w:rsidTr="0039623C">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Vertikálna štruktúra biotopu</w:t>
            </w:r>
          </w:p>
        </w:tc>
        <w:tc>
          <w:tcPr>
            <w:tcW w:w="14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 drevín a krovín/plocha biotopu</w:t>
            </w:r>
          </w:p>
        </w:tc>
        <w:tc>
          <w:tcPr>
            <w:tcW w:w="1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menej ako 30 %</w:t>
            </w:r>
          </w:p>
        </w:tc>
        <w:tc>
          <w:tcPr>
            <w:tcW w:w="4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Udržané nízke zastúpenie drevín a krovín</w:t>
            </w:r>
          </w:p>
        </w:tc>
      </w:tr>
      <w:tr w:rsidR="009E68C8" w:rsidRPr="00A451C5" w:rsidTr="0039623C">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alochtónnych /inváznych/invázne sa správajúcich druhov</w:t>
            </w:r>
          </w:p>
        </w:tc>
        <w:tc>
          <w:tcPr>
            <w:tcW w:w="14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pokrytia/25 m</w:t>
            </w:r>
            <w:r w:rsidRPr="00FC4556">
              <w:rPr>
                <w:rFonts w:ascii="Times New Roman" w:eastAsia="Times New Roman" w:hAnsi="Times New Roman" w:cs="Times New Roman"/>
                <w:sz w:val="18"/>
                <w:szCs w:val="18"/>
                <w:vertAlign w:val="superscript"/>
              </w:rPr>
              <w:t>2</w:t>
            </w:r>
          </w:p>
        </w:tc>
        <w:tc>
          <w:tcPr>
            <w:tcW w:w="1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menej ako 15% nepôvodných, a menej ako 1 % inváznych druhov</w:t>
            </w:r>
          </w:p>
        </w:tc>
        <w:tc>
          <w:tcPr>
            <w:tcW w:w="4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i/>
                <w:sz w:val="18"/>
                <w:szCs w:val="18"/>
              </w:rPr>
            </w:pPr>
            <w:r w:rsidRPr="00FC4556">
              <w:rPr>
                <w:rFonts w:ascii="Times New Roman" w:eastAsia="Times New Roman" w:hAnsi="Times New Roman" w:cs="Times New Roman"/>
                <w:sz w:val="18"/>
                <w:szCs w:val="18"/>
              </w:rPr>
              <w:t>Minimálne zastúpenie inváznych druhov (</w:t>
            </w:r>
            <w:r w:rsidRPr="00FC4556">
              <w:rPr>
                <w:rFonts w:ascii="Times New Roman" w:eastAsia="Times New Roman" w:hAnsi="Times New Roman" w:cs="Times New Roman"/>
                <w:i/>
                <w:sz w:val="18"/>
                <w:szCs w:val="18"/>
              </w:rPr>
              <w:t>Solidago canadensi</w:t>
            </w:r>
            <w:r w:rsidRPr="00FC4556">
              <w:rPr>
                <w:rFonts w:ascii="Times New Roman" w:eastAsia="Times New Roman" w:hAnsi="Times New Roman" w:cs="Times New Roman"/>
                <w:sz w:val="18"/>
                <w:szCs w:val="18"/>
              </w:rPr>
              <w:t xml:space="preserve">) – do 1 %, a zastúpenie sukcesných, expanzívnych a invázne sa správajúcich druhov (napr. </w:t>
            </w:r>
            <w:r w:rsidRPr="00FC4556">
              <w:rPr>
                <w:rFonts w:ascii="Times New Roman" w:eastAsia="Times New Roman" w:hAnsi="Times New Roman" w:cs="Times New Roman"/>
                <w:i/>
                <w:sz w:val="18"/>
                <w:szCs w:val="18"/>
              </w:rPr>
              <w:t>Calamagrostis epigejos, Stenactis annua</w:t>
            </w:r>
            <w:r w:rsidRPr="00FC4556">
              <w:rPr>
                <w:rFonts w:ascii="Times New Roman" w:eastAsia="Times New Roman" w:hAnsi="Times New Roman" w:cs="Times New Roman"/>
                <w:sz w:val="18"/>
                <w:szCs w:val="18"/>
              </w:rPr>
              <w:t>) – do 15 %.</w:t>
            </w:r>
          </w:p>
        </w:tc>
      </w:tr>
    </w:tbl>
    <w:p w:rsidR="009E68C8" w:rsidRPr="00A451C5" w:rsidRDefault="009E68C8" w:rsidP="009E68C8">
      <w:pPr>
        <w:rPr>
          <w:rFonts w:ascii="Times New Roman" w:hAnsi="Times New Roman" w:cs="Times New Roman"/>
          <w:szCs w:val="24"/>
        </w:rPr>
      </w:pPr>
    </w:p>
    <w:p w:rsidR="009E68C8" w:rsidRPr="009E68C8" w:rsidRDefault="009E68C8" w:rsidP="009E68C8">
      <w:pPr>
        <w:rPr>
          <w:rFonts w:ascii="Times New Roman" w:hAnsi="Times New Roman" w:cs="Times New Roman"/>
          <w:sz w:val="24"/>
          <w:szCs w:val="24"/>
        </w:rPr>
      </w:pPr>
      <w:r w:rsidRPr="009E68C8">
        <w:rPr>
          <w:rFonts w:ascii="Times New Roman" w:hAnsi="Times New Roman" w:cs="Times New Roman"/>
          <w:sz w:val="24"/>
          <w:szCs w:val="24"/>
        </w:rPr>
        <w:t xml:space="preserve">Zlepšenie stavu biotopu </w:t>
      </w:r>
      <w:r w:rsidRPr="009E68C8">
        <w:rPr>
          <w:rFonts w:ascii="Times New Roman" w:hAnsi="Times New Roman" w:cs="Times New Roman"/>
          <w:b/>
          <w:sz w:val="24"/>
          <w:szCs w:val="24"/>
        </w:rPr>
        <w:t xml:space="preserve">Tr8 (6230*) </w:t>
      </w:r>
      <w:r w:rsidRPr="009E68C8">
        <w:rPr>
          <w:rFonts w:ascii="Times New Roman" w:eastAsia="Times New Roman" w:hAnsi="Times New Roman" w:cs="Times New Roman"/>
          <w:b/>
          <w:sz w:val="24"/>
          <w:szCs w:val="24"/>
        </w:rPr>
        <w:t>Kvetnaté vysokohorské a horské psicové porasty na silikátovom substráte</w:t>
      </w:r>
      <w:r w:rsidRPr="009E68C8">
        <w:rPr>
          <w:rFonts w:ascii="Times New Roman" w:hAnsi="Times New Roman" w:cs="Times New Roman"/>
          <w:sz w:val="24"/>
          <w:szCs w:val="24"/>
        </w:rPr>
        <w:t xml:space="preserve"> za splnenia nasledovných atribútov:</w:t>
      </w:r>
    </w:p>
    <w:tbl>
      <w:tblPr>
        <w:tblW w:w="899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50"/>
        <w:gridCol w:w="1532"/>
        <w:gridCol w:w="1258"/>
        <w:gridCol w:w="4252"/>
      </w:tblGrid>
      <w:tr w:rsidR="009E68C8" w:rsidRPr="00A451C5" w:rsidTr="009E68C8">
        <w:trPr>
          <w:trHeight w:val="705"/>
        </w:trPr>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1258"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9E68C8" w:rsidRPr="00A451C5" w:rsidRDefault="009E68C8" w:rsidP="0039623C">
            <w:pP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9E68C8" w:rsidRPr="00A451C5" w:rsidTr="009E68C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0,45</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rPr>
                <w:rFonts w:ascii="Times New Roman" w:eastAsia="Times New Roman" w:hAnsi="Times New Roman" w:cs="Times New Roman"/>
              </w:rPr>
            </w:pPr>
            <w:r w:rsidRPr="00A451C5">
              <w:rPr>
                <w:rFonts w:ascii="Times New Roman" w:eastAsia="Times New Roman" w:hAnsi="Times New Roman" w:cs="Times New Roman"/>
              </w:rPr>
              <w:t xml:space="preserve">Udržať existujúcu výmeru biotopu </w:t>
            </w:r>
          </w:p>
        </w:tc>
      </w:tr>
      <w:tr w:rsidR="009E68C8" w:rsidRPr="00A451C5" w:rsidTr="009E68C8">
        <w:trPr>
          <w:trHeight w:val="557"/>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charakteristických druhov</w:t>
            </w:r>
          </w:p>
        </w:tc>
        <w:tc>
          <w:tcPr>
            <w:tcW w:w="1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 druhov/16 m</w:t>
            </w:r>
            <w:r w:rsidRPr="00FC4556">
              <w:rPr>
                <w:rFonts w:ascii="Times New Roman" w:eastAsia="Times New Roman" w:hAnsi="Times New Roman" w:cs="Times New Roman"/>
                <w:sz w:val="18"/>
                <w:szCs w:val="18"/>
                <w:vertAlign w:val="superscript"/>
              </w:rPr>
              <w:t>2</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najmenej 10 druhov</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 xml:space="preserve">Charakteristické/typické druhy: </w:t>
            </w:r>
            <w:r w:rsidRPr="00FC4556">
              <w:rPr>
                <w:rFonts w:ascii="Times New Roman" w:eastAsia="Times New Roman" w:hAnsi="Times New Roman" w:cs="Times New Roman"/>
                <w:i/>
                <w:sz w:val="18"/>
                <w:szCs w:val="18"/>
              </w:rPr>
              <w:t xml:space="preserve">Achillea millefolium agg., Agrostis capillaris, Alchemilla sp., Antennaria dioica, Anthoxanthum odoratum, Avenella flexuosa, Briza media, Campanula patula, Carex pallescens, Carex pilulifera, Crepis conyzifolia, Cruciata glabra, Danthonia decumbens, Deschampsia cespitosa, Dianthus deltoides, Festuca rubra agg., Galium verum, </w:t>
            </w:r>
            <w:r w:rsidRPr="00FC4556">
              <w:rPr>
                <w:rFonts w:ascii="Times New Roman" w:eastAsia="Times New Roman" w:hAnsi="Times New Roman" w:cs="Times New Roman"/>
                <w:i/>
                <w:sz w:val="18"/>
                <w:szCs w:val="18"/>
              </w:rPr>
              <w:lastRenderedPageBreak/>
              <w:t>Hieracium lachenalii, Hypericum maculatum, Juncus squarrosus,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9E68C8" w:rsidRPr="00A451C5" w:rsidTr="009E68C8">
        <w:trPr>
          <w:trHeight w:val="29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lastRenderedPageBreak/>
              <w:t>Vertikálna štruktúra biotopu</w:t>
            </w:r>
          </w:p>
        </w:tc>
        <w:tc>
          <w:tcPr>
            <w:tcW w:w="1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 drevín a krovín/plocha biotopu</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Menej ako 10 %</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Dosiahnuté minimálne zastúpenie drevín v biotope</w:t>
            </w:r>
          </w:p>
        </w:tc>
      </w:tr>
      <w:tr w:rsidR="009E68C8" w:rsidRPr="00A451C5" w:rsidTr="009E68C8">
        <w:trPr>
          <w:trHeight w:val="850"/>
        </w:trPr>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alochtónnych/inváznych/</w:t>
            </w:r>
            <w:r>
              <w:rPr>
                <w:rFonts w:ascii="Times New Roman" w:eastAsia="Times New Roman" w:hAnsi="Times New Roman" w:cs="Times New Roman"/>
                <w:sz w:val="18"/>
                <w:szCs w:val="18"/>
              </w:rPr>
              <w:t xml:space="preserve"> </w:t>
            </w:r>
            <w:r w:rsidRPr="00FC4556">
              <w:rPr>
                <w:rFonts w:ascii="Times New Roman" w:eastAsia="Times New Roman" w:hAnsi="Times New Roman" w:cs="Times New Roman"/>
                <w:sz w:val="18"/>
                <w:szCs w:val="18"/>
              </w:rPr>
              <w:t>invázne sa správajúcich druhov</w:t>
            </w:r>
          </w:p>
        </w:tc>
        <w:tc>
          <w:tcPr>
            <w:tcW w:w="1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pokrytia/25 m</w:t>
            </w:r>
            <w:r w:rsidRPr="00FC4556">
              <w:rPr>
                <w:rFonts w:ascii="Times New Roman" w:eastAsia="Times New Roman" w:hAnsi="Times New Roman" w:cs="Times New Roman"/>
                <w:sz w:val="18"/>
                <w:szCs w:val="18"/>
                <w:vertAlign w:val="superscript"/>
              </w:rPr>
              <w:t>2</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menej ako 10% nepôvodných a menej ako 1 % inváznych druhov</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spacing w:after="0"/>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Žiadne alebo minimálne zastúpenie inváznych druhov (</w:t>
            </w:r>
            <w:r w:rsidRPr="00FC4556">
              <w:rPr>
                <w:rFonts w:ascii="Times New Roman" w:eastAsia="Times New Roman" w:hAnsi="Times New Roman" w:cs="Times New Roman"/>
                <w:i/>
                <w:sz w:val="18"/>
                <w:szCs w:val="18"/>
              </w:rPr>
              <w:t>Solidago canadensis</w:t>
            </w:r>
            <w:r w:rsidRPr="00FC4556">
              <w:rPr>
                <w:rFonts w:ascii="Times New Roman" w:eastAsia="Times New Roman" w:hAnsi="Times New Roman" w:cs="Times New Roman"/>
                <w:sz w:val="18"/>
                <w:szCs w:val="18"/>
              </w:rPr>
              <w:t xml:space="preserve">) – do 1 %, a zastúpenie expanzívnych a invázne sa správajúcich druhov druhov (napr. </w:t>
            </w:r>
            <w:r w:rsidRPr="00FC4556">
              <w:rPr>
                <w:rFonts w:ascii="Times New Roman" w:eastAsia="Times New Roman" w:hAnsi="Times New Roman" w:cs="Times New Roman"/>
                <w:i/>
                <w:sz w:val="18"/>
                <w:szCs w:val="18"/>
              </w:rPr>
              <w:t>Calamagrostis epigejos, Rubus idaeus</w:t>
            </w:r>
            <w:r w:rsidRPr="00FC4556">
              <w:rPr>
                <w:rFonts w:ascii="Times New Roman" w:eastAsia="Times New Roman" w:hAnsi="Times New Roman" w:cs="Times New Roman"/>
                <w:sz w:val="18"/>
                <w:szCs w:val="18"/>
              </w:rPr>
              <w:t>) – do 10 %.</w:t>
            </w:r>
          </w:p>
        </w:tc>
      </w:tr>
    </w:tbl>
    <w:p w:rsidR="009E68C8" w:rsidRPr="00A451C5" w:rsidRDefault="009E68C8" w:rsidP="009E68C8">
      <w:pPr>
        <w:pStyle w:val="Zkladntext"/>
        <w:widowControl w:val="0"/>
        <w:jc w:val="both"/>
        <w:rPr>
          <w:lang w:val="sk-SK"/>
        </w:rPr>
      </w:pPr>
    </w:p>
    <w:p w:rsidR="009E68C8" w:rsidRPr="009E68C8" w:rsidRDefault="009E68C8" w:rsidP="009E68C8">
      <w:pPr>
        <w:rPr>
          <w:rFonts w:ascii="Times New Roman" w:hAnsi="Times New Roman" w:cs="Times New Roman"/>
          <w:sz w:val="24"/>
          <w:szCs w:val="24"/>
        </w:rPr>
      </w:pPr>
      <w:r w:rsidRPr="009E68C8">
        <w:rPr>
          <w:rFonts w:ascii="Times New Roman" w:hAnsi="Times New Roman" w:cs="Times New Roman"/>
          <w:sz w:val="24"/>
          <w:szCs w:val="24"/>
        </w:rPr>
        <w:t>Zlepšenie</w:t>
      </w:r>
      <w:r w:rsidRPr="009E68C8">
        <w:rPr>
          <w:rFonts w:ascii="Times New Roman" w:hAnsi="Times New Roman" w:cs="Times New Roman"/>
          <w:sz w:val="24"/>
          <w:szCs w:val="24"/>
        </w:rPr>
        <w:t xml:space="preserve"> stavu biotopu </w:t>
      </w:r>
      <w:r w:rsidRPr="009E68C8">
        <w:rPr>
          <w:rFonts w:ascii="Times New Roman" w:hAnsi="Times New Roman" w:cs="Times New Roman"/>
          <w:b/>
          <w:sz w:val="24"/>
          <w:szCs w:val="24"/>
        </w:rPr>
        <w:t xml:space="preserve">Ra3 (7140) Prechodné rašeliniská a trasoviská </w:t>
      </w:r>
      <w:r w:rsidRPr="009E68C8">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9E68C8" w:rsidRPr="00A451C5" w:rsidTr="0039623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Parameter</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9E68C8" w:rsidRPr="00A451C5" w:rsidTr="0039623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0,31</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eastAsia="Times New Roman" w:hAnsi="Times New Roman" w:cs="Times New Roman"/>
              </w:rPr>
            </w:pPr>
            <w:r w:rsidRPr="00A451C5">
              <w:rPr>
                <w:rFonts w:ascii="Times New Roman" w:eastAsia="Times New Roman" w:hAnsi="Times New Roman" w:cs="Times New Roman"/>
              </w:rPr>
              <w:t>Min. udržať výmeru biotopu</w:t>
            </w:r>
          </w:p>
        </w:tc>
      </w:tr>
      <w:tr w:rsidR="009E68C8" w:rsidRPr="00A451C5" w:rsidTr="0039623C">
        <w:trPr>
          <w:trHeight w:val="1692"/>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charakteristických druhov</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 druhov/16 m</w:t>
            </w:r>
            <w:r w:rsidRPr="00FC4556">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najmenej 10 druhov</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i/>
                <w:sz w:val="18"/>
                <w:szCs w:val="18"/>
              </w:rPr>
            </w:pPr>
            <w:r w:rsidRPr="00FC4556">
              <w:rPr>
                <w:rFonts w:ascii="Times New Roman" w:eastAsia="Times New Roman" w:hAnsi="Times New Roman" w:cs="Times New Roman"/>
                <w:sz w:val="18"/>
                <w:szCs w:val="18"/>
              </w:rPr>
              <w:t xml:space="preserve">Charakteristické/typické druhové zloženie: </w:t>
            </w:r>
            <w:r w:rsidRPr="00FC4556">
              <w:rPr>
                <w:rFonts w:ascii="Times New Roman" w:eastAsia="Times New Roman" w:hAnsi="Times New Roman" w:cs="Times New Roman"/>
                <w:i/>
                <w:sz w:val="18"/>
                <w:szCs w:val="18"/>
              </w:rPr>
              <w:t>Agrostis canina, Carex canescens, Carex echinata, Carex nigra, Carex rostrata, Epilobium palustre, Eriophorum angustifoliu,  Viola palustris, Pedicularis palustris, Caltha palustris,  Drosera rotundifolia</w:t>
            </w:r>
          </w:p>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Machorasty</w:t>
            </w:r>
            <w:r w:rsidRPr="00FC4556">
              <w:rPr>
                <w:rFonts w:ascii="Times New Roman" w:eastAsia="Times New Roman" w:hAnsi="Times New Roman" w:cs="Times New Roman"/>
                <w:i/>
                <w:sz w:val="18"/>
                <w:szCs w:val="18"/>
              </w:rPr>
              <w:t xml:space="preserve">: Aulacomnium palustre, Sphagnum capillifolium, </w:t>
            </w:r>
            <w:r w:rsidRPr="00FC4556">
              <w:rPr>
                <w:rFonts w:ascii="Times New Roman" w:hAnsi="Times New Roman" w:cs="Times New Roman"/>
                <w:i/>
                <w:sz w:val="18"/>
                <w:szCs w:val="18"/>
                <w:shd w:val="clear" w:color="auto" w:fill="FAFBFA"/>
              </w:rPr>
              <w:t>Calliergonella cuspidata</w:t>
            </w:r>
            <w:r w:rsidRPr="00FC4556">
              <w:rPr>
                <w:rFonts w:ascii="Times New Roman" w:eastAsia="Times New Roman" w:hAnsi="Times New Roman" w:cs="Times New Roman"/>
                <w:i/>
                <w:sz w:val="18"/>
                <w:szCs w:val="18"/>
              </w:rPr>
              <w:t>, Sphagnum pallustre, Sphagnum subsecundum, Sphagnum teres, Warnstorfia exanulata, Sphagnum squarrosum</w:t>
            </w:r>
          </w:p>
        </w:tc>
      </w:tr>
      <w:tr w:rsidR="009E68C8" w:rsidRPr="00A451C5" w:rsidTr="0039623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Vertikálna štruktúra biotopu</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 drevín a krovín/plocha biotopu</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menej ako 10 %</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Udržané nízke zastúpenie drevín a krovín</w:t>
            </w:r>
          </w:p>
        </w:tc>
      </w:tr>
      <w:tr w:rsidR="009E68C8" w:rsidRPr="00A451C5" w:rsidTr="0039623C">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Zastúpenie alochtónnych /inváznych/invázne sa správajúcich druhov</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pokrytia/25 m</w:t>
            </w:r>
            <w:r w:rsidRPr="00FC4556">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0</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i/>
                <w:sz w:val="18"/>
                <w:szCs w:val="18"/>
              </w:rPr>
            </w:pPr>
            <w:r w:rsidRPr="00FC4556">
              <w:rPr>
                <w:rFonts w:ascii="Times New Roman" w:eastAsia="Times New Roman" w:hAnsi="Times New Roman" w:cs="Times New Roman"/>
                <w:sz w:val="18"/>
                <w:szCs w:val="18"/>
              </w:rPr>
              <w:t>Bez výskytu nepôvodných druhov</w:t>
            </w:r>
          </w:p>
        </w:tc>
      </w:tr>
      <w:tr w:rsidR="009E68C8" w:rsidRPr="00A451C5" w:rsidTr="0039623C">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Vodný režim</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Výskyt zásahov na odvodnenie lokality</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0</w:t>
            </w:r>
          </w:p>
        </w:tc>
        <w:tc>
          <w:tcPr>
            <w:tcW w:w="46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bl>
    <w:p w:rsidR="009E68C8" w:rsidRPr="00A451C5" w:rsidRDefault="009E68C8" w:rsidP="009E68C8">
      <w:pPr>
        <w:rPr>
          <w:rFonts w:ascii="Times New Roman" w:hAnsi="Times New Roman" w:cs="Times New Roman"/>
          <w:szCs w:val="24"/>
        </w:rPr>
      </w:pPr>
    </w:p>
    <w:p w:rsidR="009E68C8" w:rsidRPr="00A451C5" w:rsidRDefault="009E68C8" w:rsidP="009E68C8">
      <w:pPr>
        <w:pStyle w:val="Zkladntext"/>
        <w:widowControl w:val="0"/>
        <w:spacing w:after="120"/>
        <w:jc w:val="both"/>
        <w:rPr>
          <w:b w:val="0"/>
        </w:rPr>
      </w:pPr>
      <w:r w:rsidRPr="00A451C5">
        <w:rPr>
          <w:b w:val="0"/>
          <w:lang w:val="sk-SK"/>
        </w:rPr>
        <w:t>Zachovanie priaznivého</w:t>
      </w:r>
      <w:r w:rsidRPr="00A451C5">
        <w:rPr>
          <w:b w:val="0"/>
        </w:rPr>
        <w:t xml:space="preserve"> stavu </w:t>
      </w:r>
      <w:r w:rsidRPr="00A451C5">
        <w:t>biotopu Ls1.4 (</w:t>
      </w:r>
      <w:r w:rsidRPr="00A451C5">
        <w:rPr>
          <w:lang w:val="sk-SK"/>
        </w:rPr>
        <w:t>*</w:t>
      </w:r>
      <w:r w:rsidRPr="00A451C5">
        <w:t>91E0)  Horské jelšové lužné lesy</w:t>
      </w:r>
      <w:r w:rsidRPr="00A451C5">
        <w:rPr>
          <w:b w:val="0"/>
        </w:rPr>
        <w:t xml:space="preserve"> za splnenia nasledovných atribútov</w:t>
      </w:r>
      <w:r w:rsidRPr="00A451C5">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6"/>
        <w:gridCol w:w="1275"/>
        <w:gridCol w:w="1355"/>
        <w:gridCol w:w="4721"/>
      </w:tblGrid>
      <w:tr w:rsidR="009E68C8" w:rsidRPr="00A451C5" w:rsidTr="0039623C">
        <w:tc>
          <w:tcPr>
            <w:tcW w:w="1816" w:type="dxa"/>
            <w:tcBorders>
              <w:top w:val="single" w:sz="4" w:space="0" w:color="000001"/>
              <w:left w:val="single" w:sz="4" w:space="0" w:color="000001"/>
              <w:bottom w:val="single" w:sz="4" w:space="0" w:color="000001"/>
              <w:right w:val="single" w:sz="4" w:space="0" w:color="000001"/>
            </w:tcBorders>
            <w:shd w:val="clear" w:color="auto" w:fill="auto"/>
          </w:tcPr>
          <w:p w:rsidR="009E68C8" w:rsidRPr="00A451C5" w:rsidRDefault="009E68C8" w:rsidP="0039623C">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9E68C8" w:rsidRPr="00A451C5" w:rsidRDefault="009E68C8" w:rsidP="0039623C">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354" w:type="dxa"/>
            <w:tcBorders>
              <w:top w:val="single" w:sz="4" w:space="0" w:color="000001"/>
              <w:left w:val="single" w:sz="4" w:space="0" w:color="000001"/>
              <w:bottom w:val="single" w:sz="4" w:space="0" w:color="000001"/>
              <w:right w:val="single" w:sz="4" w:space="0" w:color="000001"/>
            </w:tcBorders>
            <w:shd w:val="clear" w:color="auto" w:fill="auto"/>
          </w:tcPr>
          <w:p w:rsidR="009E68C8" w:rsidRPr="00A451C5" w:rsidRDefault="009E68C8" w:rsidP="0039623C">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721" w:type="dxa"/>
            <w:tcBorders>
              <w:top w:val="single" w:sz="4" w:space="0" w:color="000001"/>
              <w:left w:val="single" w:sz="4" w:space="0" w:color="000001"/>
              <w:bottom w:val="single" w:sz="4" w:space="0" w:color="000001"/>
              <w:right w:val="single" w:sz="4" w:space="0" w:color="000001"/>
            </w:tcBorders>
            <w:shd w:val="clear" w:color="auto" w:fill="auto"/>
          </w:tcPr>
          <w:p w:rsidR="009E68C8" w:rsidRPr="00A451C5" w:rsidRDefault="009E68C8" w:rsidP="0039623C">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9E68C8" w:rsidRPr="00A451C5" w:rsidTr="0039623C">
        <w:trPr>
          <w:trHeight w:val="270"/>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widowControl w:val="0"/>
              <w:jc w:val="center"/>
              <w:rPr>
                <w:rFonts w:ascii="Times New Roman" w:hAnsi="Times New Roman" w:cs="Times New Roman"/>
                <w:sz w:val="18"/>
                <w:szCs w:val="18"/>
              </w:rPr>
            </w:pPr>
            <w:r w:rsidRPr="00A451C5">
              <w:rPr>
                <w:rFonts w:ascii="Times New Roman" w:hAnsi="Times New Roman" w:cs="Times New Roman"/>
                <w:sz w:val="18"/>
                <w:szCs w:val="18"/>
              </w:rPr>
              <w:t>3,3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widowControl w:val="0"/>
              <w:jc w:val="center"/>
              <w:rPr>
                <w:rFonts w:ascii="Times New Roman" w:hAnsi="Times New Roman" w:cs="Times New Roman"/>
                <w:sz w:val="18"/>
                <w:szCs w:val="18"/>
              </w:rPr>
            </w:pPr>
            <w:r w:rsidRPr="00A451C5">
              <w:rPr>
                <w:rFonts w:ascii="Times New Roman" w:hAnsi="Times New Roman" w:cs="Times New Roman"/>
                <w:sz w:val="18"/>
                <w:szCs w:val="18"/>
              </w:rPr>
              <w:t xml:space="preserve">Min. udržanie existujúcej výmery biotopu v ÚEV. </w:t>
            </w:r>
          </w:p>
        </w:tc>
      </w:tr>
      <w:tr w:rsidR="009E68C8" w:rsidRPr="00A451C5" w:rsidTr="0039623C">
        <w:trPr>
          <w:trHeight w:val="179"/>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drevín</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najmenej 80 %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9E68C8" w:rsidRPr="00A451C5" w:rsidRDefault="009E68C8" w:rsidP="0039623C">
            <w:pPr>
              <w:jc w:val="center"/>
              <w:rPr>
                <w:rFonts w:ascii="Times New Roman" w:hAnsi="Times New Roman" w:cs="Times New Roman"/>
                <w:i/>
                <w:sz w:val="18"/>
                <w:szCs w:val="18"/>
              </w:rPr>
            </w:pPr>
            <w:r w:rsidRPr="00A451C5">
              <w:rPr>
                <w:rFonts w:ascii="Times New Roman" w:hAnsi="Times New Roman" w:cs="Times New Roman"/>
                <w:i/>
                <w:sz w:val="18"/>
                <w:szCs w:val="18"/>
              </w:rPr>
              <w:t>Acer pseudopl atanus, Alnus glutinosa, A. incana*, Fraxinus excelsior, Padus avium, Picea abies &lt;40%, Salix fragilis, S. purpurea, Sorbus aucuparia, Ulmus glabra.</w:t>
            </w:r>
          </w:p>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w:t>
            </w:r>
            <w:r w:rsidRPr="00A451C5">
              <w:rPr>
                <w:rFonts w:ascii="Times New Roman" w:hAnsi="Times New Roman" w:cs="Times New Roman"/>
                <w:i/>
                <w:sz w:val="18"/>
                <w:szCs w:val="18"/>
              </w:rPr>
              <w:t>Alnus incana</w:t>
            </w:r>
            <w:r w:rsidRPr="00A451C5">
              <w:rPr>
                <w:rFonts w:ascii="Times New Roman" w:hAnsi="Times New Roman" w:cs="Times New Roman"/>
                <w:sz w:val="18"/>
                <w:szCs w:val="18"/>
              </w:rPr>
              <w:t xml:space="preserve"> minimálne 30%)</w:t>
            </w:r>
          </w:p>
        </w:tc>
      </w:tr>
      <w:tr w:rsidR="009E68C8" w:rsidRPr="00A451C5" w:rsidTr="0039623C">
        <w:trPr>
          <w:trHeight w:val="173"/>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(bylín, krov, machorastov, lišajníkov)</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9E68C8" w:rsidRPr="00A451C5" w:rsidRDefault="009E68C8" w:rsidP="0039623C">
            <w:pPr>
              <w:jc w:val="center"/>
              <w:rPr>
                <w:rFonts w:ascii="Times New Roman" w:hAnsi="Times New Roman" w:cs="Times New Roman"/>
                <w:i/>
                <w:sz w:val="18"/>
                <w:szCs w:val="18"/>
              </w:rPr>
            </w:pPr>
            <w:r w:rsidRPr="00A451C5">
              <w:rPr>
                <w:rFonts w:ascii="Times New Roman" w:hAnsi="Times New Roman" w:cs="Times New Roman"/>
                <w:i/>
                <w:sz w:val="18"/>
                <w:szCs w:val="18"/>
              </w:rPr>
              <w:t>Aegopodium podagraria,</w:t>
            </w:r>
            <w:r w:rsidRPr="00A451C5">
              <w:rPr>
                <w:rFonts w:ascii="Times New Roman" w:hAnsi="Times New Roman" w:cs="Times New Roman"/>
              </w:rPr>
              <w:t xml:space="preserve"> </w:t>
            </w:r>
            <w:r w:rsidRPr="00A451C5">
              <w:rPr>
                <w:rFonts w:ascii="Times New Roman" w:hAnsi="Times New Roman" w:cs="Times New Roman"/>
                <w:i/>
                <w:sz w:val="18"/>
                <w:szCs w:val="18"/>
              </w:rPr>
              <w:t>Anthriscus nitidus, Astrantia major, Caltha palustris subsp. laeta, Calamagrostis villosa, Cardamine amara, Chaerophyllum hirsutum, Chrysosplenium alternifolium, Cicerbita alpina, Cirsium oleraceum, Crepis paludosa, Doronicum austriacum, Equisetum sylvaticum, Filipendula ulmaria, Geranium phaeum, Knautia maxima,  Lysimachia nemorum,  Petasites albus, P. hybridus, Primula elatior, Silene dioica, Stellaria nemorum, Thalictrum aquilegiifolium, Veratrum album</w:t>
            </w:r>
          </w:p>
        </w:tc>
      </w:tr>
      <w:tr w:rsidR="009E68C8" w:rsidRPr="00A451C5" w:rsidTr="0039623C">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Minimálne zastúpenie alochtónnych/inváznych druhov drevín a bylín v biotope</w:t>
            </w:r>
            <w:r w:rsidRPr="00A451C5">
              <w:rPr>
                <w:rFonts w:ascii="Times New Roman" w:hAnsi="Times New Roman" w:cs="Times New Roman"/>
                <w:i/>
                <w:sz w:val="18"/>
                <w:szCs w:val="18"/>
              </w:rPr>
              <w:t xml:space="preserve"> </w:t>
            </w:r>
            <w:r w:rsidRPr="00A451C5">
              <w:rPr>
                <w:rFonts w:ascii="Times New Roman" w:hAnsi="Times New Roman" w:cs="Times New Roman"/>
                <w:sz w:val="18"/>
                <w:szCs w:val="18"/>
              </w:rPr>
              <w:t xml:space="preserve">(napr. </w:t>
            </w:r>
            <w:r w:rsidRPr="00A451C5">
              <w:rPr>
                <w:rFonts w:ascii="Times New Roman" w:hAnsi="Times New Roman" w:cs="Times New Roman"/>
                <w:i/>
                <w:sz w:val="18"/>
                <w:szCs w:val="18"/>
              </w:rPr>
              <w:t>Fallopia sp., Impatiens glandulifera, I. parviflora</w:t>
            </w:r>
            <w:r w:rsidRPr="00A451C5">
              <w:rPr>
                <w:rFonts w:ascii="Times New Roman" w:hAnsi="Times New Roman" w:cs="Times New Roman"/>
                <w:sz w:val="18"/>
                <w:szCs w:val="18"/>
              </w:rPr>
              <w:t>)</w:t>
            </w:r>
          </w:p>
        </w:tc>
      </w:tr>
      <w:tr w:rsidR="009E68C8" w:rsidRPr="00A451C5" w:rsidTr="0039623C">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30 cm)</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9E68C8" w:rsidRPr="00A451C5" w:rsidRDefault="009E68C8" w:rsidP="0039623C">
            <w:pPr>
              <w:jc w:val="center"/>
              <w:rPr>
                <w:rFonts w:ascii="Times New Roman" w:hAnsi="Times New Roman" w:cs="Times New Roman"/>
                <w:sz w:val="18"/>
                <w:szCs w:val="18"/>
              </w:rPr>
            </w:pPr>
          </w:p>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A451C5" w:rsidRDefault="009E68C8" w:rsidP="0039623C">
            <w:pPr>
              <w:jc w:val="center"/>
              <w:rPr>
                <w:rFonts w:ascii="Times New Roman" w:hAnsi="Times New Roman" w:cs="Times New Roman"/>
                <w:sz w:val="18"/>
                <w:szCs w:val="18"/>
              </w:rPr>
            </w:pPr>
            <w:r w:rsidRPr="00A451C5">
              <w:rPr>
                <w:rFonts w:ascii="Times New Roman" w:hAnsi="Times New Roman" w:cs="Times New Roman"/>
                <w:sz w:val="18"/>
                <w:szCs w:val="18"/>
              </w:rPr>
              <w:t>Zabezpečenie prítomnosti odumretého dreva na ploche biotopu v danom objeme.</w:t>
            </w:r>
          </w:p>
        </w:tc>
      </w:tr>
      <w:tr w:rsidR="009E68C8" w:rsidRPr="00A451C5" w:rsidTr="0039623C">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Zachovalá prirodzená dynamika toku</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Výskyt prirodzených úsekov tokov</w:t>
            </w:r>
          </w:p>
        </w:tc>
        <w:tc>
          <w:tcPr>
            <w:tcW w:w="13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Na celom toku v UEV a v jeho bezprostrednom okolí</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Tok bez prekážok spôsobujúcich spomalenie vodného toku, odklonenie toku, hrádze, zníženie prietočnosti.</w:t>
            </w:r>
          </w:p>
        </w:tc>
      </w:tr>
    </w:tbl>
    <w:p w:rsidR="009E68C8" w:rsidRPr="00A451C5" w:rsidRDefault="009E68C8" w:rsidP="009E68C8">
      <w:pPr>
        <w:pStyle w:val="Zkladntext"/>
        <w:widowControl w:val="0"/>
        <w:jc w:val="both"/>
        <w:rPr>
          <w:b w:val="0"/>
        </w:rPr>
      </w:pPr>
    </w:p>
    <w:p w:rsidR="009E68C8" w:rsidRPr="00A451C5" w:rsidRDefault="009E68C8" w:rsidP="009E68C8">
      <w:pPr>
        <w:pStyle w:val="Zkladntext"/>
        <w:widowControl w:val="0"/>
        <w:spacing w:after="120"/>
        <w:jc w:val="both"/>
      </w:pPr>
      <w:r w:rsidRPr="00A451C5">
        <w:rPr>
          <w:b w:val="0"/>
        </w:rPr>
        <w:t xml:space="preserve">Zlepšenie stavu druhu </w:t>
      </w:r>
      <w:r w:rsidRPr="00A451C5">
        <w:rPr>
          <w:i/>
        </w:rPr>
        <w:t xml:space="preserve">Hamatocaulis vernicosus </w:t>
      </w:r>
      <w:r w:rsidRPr="00A451C5">
        <w:rPr>
          <w:b w:val="0"/>
        </w:rPr>
        <w:t>za splnenia nasledovných atribútov</w:t>
      </w:r>
      <w:r w:rsidRPr="00A451C5">
        <w:rPr>
          <w:b w:val="0"/>
          <w:lang w:val="sk-SK"/>
        </w:rPr>
        <w:t>:</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1701"/>
        <w:gridCol w:w="4242"/>
      </w:tblGrid>
      <w:tr w:rsidR="009E68C8" w:rsidRPr="00A451C5" w:rsidTr="0039623C">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hAnsi="Times New Roman" w:cs="Times New Roman"/>
                <w:b/>
              </w:rPr>
            </w:pPr>
            <w:r w:rsidRPr="00A451C5">
              <w:rPr>
                <w:rFonts w:ascii="Times New Roman" w:hAnsi="Times New Roman" w:cs="Times New Roman"/>
                <w:b/>
              </w:rPr>
              <w:t>Cieľová hodnota</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A451C5" w:rsidRDefault="009E68C8" w:rsidP="0039623C">
            <w:pPr>
              <w:jc w:val="center"/>
              <w:rPr>
                <w:rFonts w:ascii="Times New Roman" w:hAnsi="Times New Roman" w:cs="Times New Roman"/>
                <w:b/>
              </w:rPr>
            </w:pPr>
            <w:r w:rsidRPr="00A451C5">
              <w:rPr>
                <w:rFonts w:ascii="Times New Roman" w:hAnsi="Times New Roman" w:cs="Times New Roman"/>
                <w:b/>
              </w:rPr>
              <w:t>Doplnkové informácie</w:t>
            </w:r>
          </w:p>
        </w:tc>
      </w:tr>
      <w:tr w:rsidR="009E68C8" w:rsidRPr="00A451C5" w:rsidTr="0039623C">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plocha výskytu jedincov (</w:t>
            </w:r>
            <w:r w:rsidRPr="00FC4556">
              <w:rPr>
                <w:rFonts w:ascii="Times New Roman" w:eastAsia="Times New Roman" w:hAnsi="Times New Roman" w:cs="Times New Roman"/>
                <w:sz w:val="18"/>
                <w:szCs w:val="18"/>
              </w:rPr>
              <w:t>m</w:t>
            </w:r>
            <w:r w:rsidRPr="00FC4556">
              <w:rPr>
                <w:rFonts w:ascii="Times New Roman" w:eastAsia="Times New Roman" w:hAnsi="Times New Roman" w:cs="Times New Roman"/>
                <w:sz w:val="18"/>
                <w:szCs w:val="18"/>
                <w:vertAlign w:val="superscript"/>
              </w:rPr>
              <w:t>2</w:t>
            </w:r>
            <w:r w:rsidRPr="00FC4556">
              <w:rPr>
                <w:rFonts w:ascii="Times New Roman" w:hAnsi="Times New Roman" w:cs="Times New Roman"/>
                <w:sz w:val="18"/>
                <w:szCs w:val="1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min. na ploche</w:t>
            </w:r>
            <w:r w:rsidRPr="00FC4556">
              <w:rPr>
                <w:rFonts w:ascii="Times New Roman" w:hAnsi="Times New Roman" w:cs="Times New Roman"/>
                <w:sz w:val="18"/>
                <w:szCs w:val="18"/>
              </w:rPr>
              <w:br/>
              <w:t xml:space="preserve">30 </w:t>
            </w:r>
            <w:r w:rsidRPr="00FC4556">
              <w:rPr>
                <w:rFonts w:ascii="Times New Roman" w:eastAsia="Times New Roman" w:hAnsi="Times New Roman" w:cs="Times New Roman"/>
                <w:sz w:val="18"/>
                <w:szCs w:val="18"/>
              </w:rPr>
              <w:t>m</w:t>
            </w:r>
            <w:r w:rsidRPr="00FC4556">
              <w:rPr>
                <w:rFonts w:ascii="Times New Roman" w:eastAsia="Times New Roman" w:hAnsi="Times New Roman" w:cs="Times New Roman"/>
                <w:sz w:val="18"/>
                <w:szCs w:val="18"/>
                <w:vertAlign w:val="superscript"/>
              </w:rPr>
              <w:t>2</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9E68C8">
            <w:pPr>
              <w:jc w:val="center"/>
              <w:rPr>
                <w:rFonts w:ascii="Times New Roman" w:hAnsi="Times New Roman" w:cs="Times New Roman"/>
                <w:sz w:val="18"/>
                <w:szCs w:val="18"/>
              </w:rPr>
            </w:pPr>
            <w:r w:rsidRPr="00FC4556">
              <w:rPr>
                <w:rFonts w:ascii="Times New Roman" w:hAnsi="Times New Roman" w:cs="Times New Roman"/>
                <w:sz w:val="18"/>
                <w:szCs w:val="18"/>
              </w:rPr>
              <w:t>Potrebný detailnejší monitoring populácie druhu;  v súčasnosti je druh mon</w:t>
            </w:r>
            <w:r>
              <w:rPr>
                <w:rFonts w:ascii="Times New Roman" w:hAnsi="Times New Roman" w:cs="Times New Roman"/>
                <w:sz w:val="18"/>
                <w:szCs w:val="18"/>
              </w:rPr>
              <w:t>itorovaný na TMP - na ploche 4 m2</w:t>
            </w:r>
            <w:r w:rsidRPr="00FC4556">
              <w:rPr>
                <w:rFonts w:ascii="Times New Roman" w:hAnsi="Times New Roman" w:cs="Times New Roman"/>
                <w:sz w:val="18"/>
                <w:szCs w:val="18"/>
              </w:rPr>
              <w:t>.</w:t>
            </w:r>
          </w:p>
        </w:tc>
      </w:tr>
      <w:tr w:rsidR="009E68C8" w:rsidRPr="00A451C5" w:rsidTr="0039623C">
        <w:trPr>
          <w:trHeight w:val="48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0,3</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Udržať súčasnú výmeru biotopu druhu (biotop Ra3).</w:t>
            </w:r>
          </w:p>
        </w:tc>
      </w:tr>
      <w:tr w:rsidR="009E68C8" w:rsidRPr="00A451C5" w:rsidTr="0039623C">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Kvalita biotopu (biotop Ra3)</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 xml:space="preserve">Výskyt typických druhov (na ploche </w:t>
            </w:r>
            <w:r w:rsidRPr="00FC4556">
              <w:rPr>
                <w:rFonts w:ascii="Times New Roman" w:eastAsia="Times New Roman" w:hAnsi="Times New Roman" w:cs="Times New Roman"/>
                <w:sz w:val="18"/>
                <w:szCs w:val="18"/>
              </w:rPr>
              <w:t>16 m</w:t>
            </w:r>
            <w:r w:rsidRPr="00FC4556">
              <w:rPr>
                <w:rFonts w:ascii="Times New Roman" w:eastAsia="Times New Roman" w:hAnsi="Times New Roman" w:cs="Times New Roman"/>
                <w:sz w:val="18"/>
                <w:szCs w:val="18"/>
                <w:vertAlign w:val="superscript"/>
              </w:rPr>
              <w:t>2</w:t>
            </w:r>
            <w:r w:rsidRPr="00FC4556">
              <w:rPr>
                <w:rFonts w:ascii="Times New Roman" w:hAnsi="Times New Roman" w:cs="Times New Roman"/>
                <w:sz w:val="18"/>
                <w:szCs w:val="1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Min. 5 druhov, vrátane rašeliníkov</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i/>
                <w:sz w:val="18"/>
                <w:szCs w:val="18"/>
              </w:rPr>
            </w:pPr>
            <w:r w:rsidRPr="00FC4556">
              <w:rPr>
                <w:rFonts w:ascii="Times New Roman" w:hAnsi="Times New Roman" w:cs="Times New Roman"/>
                <w:i/>
                <w:sz w:val="18"/>
                <w:szCs w:val="18"/>
              </w:rPr>
              <w:t>Carex nigra, C. canescens, C. echinata, C. rostrata, Agrostis canina, Epilobium palustre, Eriophorum angustifolium, Pedicularis palustris, Veronica scutellata, Viola palustris</w:t>
            </w:r>
          </w:p>
          <w:p w:rsidR="009E68C8" w:rsidRPr="00FC4556" w:rsidRDefault="009E68C8" w:rsidP="0039623C">
            <w:pPr>
              <w:jc w:val="center"/>
              <w:rPr>
                <w:rFonts w:ascii="Times New Roman" w:hAnsi="Times New Roman" w:cs="Times New Roman"/>
                <w:i/>
                <w:sz w:val="18"/>
                <w:szCs w:val="18"/>
              </w:rPr>
            </w:pPr>
            <w:r w:rsidRPr="00FC4556">
              <w:rPr>
                <w:rFonts w:ascii="Times New Roman" w:eastAsia="Times New Roman" w:hAnsi="Times New Roman" w:cs="Times New Roman"/>
                <w:sz w:val="18"/>
                <w:szCs w:val="18"/>
              </w:rPr>
              <w:t>Machorasty</w:t>
            </w:r>
            <w:r w:rsidRPr="00FC4556">
              <w:rPr>
                <w:rFonts w:ascii="Times New Roman" w:eastAsia="Times New Roman" w:hAnsi="Times New Roman" w:cs="Times New Roman"/>
                <w:i/>
                <w:sz w:val="18"/>
                <w:szCs w:val="18"/>
              </w:rPr>
              <w:t xml:space="preserve">: </w:t>
            </w:r>
            <w:r w:rsidRPr="00FC4556">
              <w:rPr>
                <w:rFonts w:ascii="Times New Roman" w:hAnsi="Times New Roman" w:cs="Times New Roman"/>
                <w:i/>
                <w:sz w:val="18"/>
                <w:szCs w:val="18"/>
              </w:rPr>
              <w:t xml:space="preserve"> </w:t>
            </w:r>
            <w:r w:rsidRPr="00FC4556">
              <w:rPr>
                <w:rFonts w:ascii="Times New Roman" w:hAnsi="Times New Roman" w:cs="Times New Roman"/>
                <w:i/>
                <w:sz w:val="18"/>
                <w:szCs w:val="18"/>
                <w:shd w:val="clear" w:color="auto" w:fill="FAFBFA"/>
              </w:rPr>
              <w:t>Calliergonella cuspidata,</w:t>
            </w:r>
            <w:r w:rsidRPr="00FC4556">
              <w:rPr>
                <w:rFonts w:ascii="Times New Roman" w:hAnsi="Times New Roman" w:cs="Times New Roman"/>
                <w:i/>
                <w:sz w:val="18"/>
                <w:szCs w:val="18"/>
              </w:rPr>
              <w:t xml:space="preserve"> Sphagnum </w:t>
            </w:r>
            <w:r w:rsidRPr="00FC4556">
              <w:rPr>
                <w:rFonts w:ascii="Times New Roman" w:hAnsi="Times New Roman" w:cs="Times New Roman"/>
                <w:sz w:val="18"/>
                <w:szCs w:val="18"/>
              </w:rPr>
              <w:t>spp.</w:t>
            </w:r>
          </w:p>
        </w:tc>
      </w:tr>
      <w:tr w:rsidR="009E68C8" w:rsidRPr="00A451C5" w:rsidTr="0039623C">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Zastúpenie sukcesných drevín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menej ako 5 %</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Udržané nízke zastúpenie drevín a krovín</w:t>
            </w:r>
          </w:p>
        </w:tc>
      </w:tr>
      <w:tr w:rsidR="009E68C8" w:rsidRPr="00A451C5" w:rsidTr="0039623C">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Vodný režim</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eastAsia="Times New Roman" w:hAnsi="Times New Roman" w:cs="Times New Roman"/>
                <w:sz w:val="18"/>
                <w:szCs w:val="18"/>
              </w:rPr>
              <w:t>Výskyt zásahov na odvodnenie lokality</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0</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r w:rsidR="009E68C8" w:rsidRPr="00A451C5" w:rsidTr="0039623C">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lastRenderedPageBreak/>
              <w:t>Zastúpenie alochtónnych druhov/inváznych druhov drevín</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Percento  (%) pokrytia / 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rPr>
              <w:t>0 %</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hAnsi="Times New Roman" w:cs="Times New Roman"/>
                <w:sz w:val="18"/>
                <w:szCs w:val="18"/>
              </w:rPr>
            </w:pPr>
            <w:r w:rsidRPr="00FC4556">
              <w:rPr>
                <w:rFonts w:ascii="Times New Roman" w:hAnsi="Times New Roman" w:cs="Times New Roman"/>
                <w:sz w:val="18"/>
                <w:szCs w:val="18"/>
                <w:shd w:val="clear" w:color="auto" w:fill="FAFBFA"/>
              </w:rPr>
              <w:t>Minimálne (žiadne) zastúpenie</w:t>
            </w:r>
            <w:r w:rsidRPr="00FC4556">
              <w:rPr>
                <w:rFonts w:ascii="Times New Roman" w:hAnsi="Times New Roman" w:cs="Times New Roman"/>
                <w:i/>
                <w:sz w:val="18"/>
                <w:szCs w:val="18"/>
                <w:shd w:val="clear" w:color="auto" w:fill="FAFBFA"/>
              </w:rPr>
              <w:t xml:space="preserve"> </w:t>
            </w:r>
            <w:r w:rsidRPr="00FC4556">
              <w:rPr>
                <w:rFonts w:ascii="Times New Roman" w:hAnsi="Times New Roman" w:cs="Times New Roman"/>
                <w:sz w:val="18"/>
                <w:szCs w:val="18"/>
                <w:shd w:val="clear" w:color="auto" w:fill="FAFBFA"/>
              </w:rPr>
              <w:t>inváznych druhov</w:t>
            </w:r>
          </w:p>
        </w:tc>
      </w:tr>
    </w:tbl>
    <w:p w:rsidR="009E68C8" w:rsidRPr="00A451C5" w:rsidRDefault="009E68C8" w:rsidP="009E68C8">
      <w:pPr>
        <w:pStyle w:val="Zkladntext"/>
        <w:widowControl w:val="0"/>
        <w:spacing w:after="120"/>
        <w:jc w:val="both"/>
        <w:rPr>
          <w:i/>
        </w:rPr>
      </w:pPr>
    </w:p>
    <w:p w:rsidR="009E68C8" w:rsidRPr="009E68C8" w:rsidRDefault="009E68C8" w:rsidP="009E68C8">
      <w:pPr>
        <w:rPr>
          <w:rFonts w:ascii="Times New Roman" w:eastAsia="Times New Roman" w:hAnsi="Times New Roman" w:cs="Times New Roman"/>
          <w:i/>
          <w:sz w:val="24"/>
          <w:szCs w:val="24"/>
        </w:rPr>
      </w:pPr>
      <w:bookmarkStart w:id="2" w:name="_GoBack"/>
      <w:r w:rsidRPr="009E68C8">
        <w:rPr>
          <w:rFonts w:ascii="Times New Roman" w:hAnsi="Times New Roman" w:cs="Times New Roman"/>
          <w:sz w:val="24"/>
          <w:szCs w:val="24"/>
        </w:rPr>
        <w:t xml:space="preserve">Zlepšenie stavu </w:t>
      </w:r>
      <w:r w:rsidRPr="009E68C8">
        <w:rPr>
          <w:rFonts w:ascii="Times New Roman" w:hAnsi="Times New Roman" w:cs="Times New Roman"/>
          <w:b/>
          <w:sz w:val="24"/>
          <w:szCs w:val="24"/>
        </w:rPr>
        <w:t xml:space="preserve">druhu </w:t>
      </w:r>
      <w:r w:rsidRPr="009E68C8">
        <w:rPr>
          <w:rFonts w:ascii="Times New Roman" w:eastAsia="Times New Roman" w:hAnsi="Times New Roman" w:cs="Times New Roman"/>
          <w:b/>
          <w:i/>
          <w:sz w:val="24"/>
          <w:szCs w:val="24"/>
        </w:rPr>
        <w:t xml:space="preserve">Bombina variegata </w:t>
      </w:r>
      <w:r w:rsidRPr="009E68C8">
        <w:rPr>
          <w:rFonts w:ascii="Times New Roman" w:hAnsi="Times New Roman" w:cs="Times New Roman"/>
          <w:sz w:val="24"/>
          <w:szCs w:val="24"/>
        </w:rPr>
        <w:t xml:space="preserve">za splnenia nasledovných atribútov: </w:t>
      </w:r>
    </w:p>
    <w:tbl>
      <w:tblPr>
        <w:tblW w:w="8990"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87"/>
        <w:gridCol w:w="1458"/>
        <w:gridCol w:w="1040"/>
        <w:gridCol w:w="4405"/>
      </w:tblGrid>
      <w:tr w:rsidR="009E68C8" w:rsidRPr="00A451C5" w:rsidTr="0039623C">
        <w:trPr>
          <w:trHeight w:val="810"/>
        </w:trPr>
        <w:tc>
          <w:tcPr>
            <w:tcW w:w="2086" w:type="dxa"/>
            <w:tcBorders>
              <w:top w:val="single" w:sz="4" w:space="0" w:color="00000A"/>
              <w:left w:val="single" w:sz="4" w:space="0" w:color="00000A"/>
              <w:bottom w:val="single" w:sz="4" w:space="0" w:color="00000A"/>
              <w:right w:val="single" w:sz="4" w:space="0" w:color="00000A"/>
            </w:tcBorders>
            <w:shd w:val="clear" w:color="auto" w:fill="auto"/>
            <w:vAlign w:val="center"/>
          </w:tcPr>
          <w:bookmarkEnd w:id="2"/>
          <w:p w:rsidR="009E68C8" w:rsidRPr="00FC4556" w:rsidRDefault="009E68C8" w:rsidP="0039623C">
            <w:pPr>
              <w:jc w:val="center"/>
              <w:rPr>
                <w:rFonts w:ascii="Times New Roman" w:eastAsia="Times New Roman" w:hAnsi="Times New Roman" w:cs="Times New Roman"/>
                <w:b/>
                <w:sz w:val="18"/>
                <w:szCs w:val="18"/>
              </w:rPr>
            </w:pPr>
            <w:r w:rsidRPr="00FC4556">
              <w:rPr>
                <w:rFonts w:ascii="Times New Roman" w:eastAsia="Times New Roman" w:hAnsi="Times New Roman" w:cs="Times New Roman"/>
                <w:b/>
                <w:sz w:val="18"/>
                <w:szCs w:val="18"/>
              </w:rPr>
              <w:t>Parameter</w:t>
            </w:r>
          </w:p>
        </w:tc>
        <w:tc>
          <w:tcPr>
            <w:tcW w:w="14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b/>
                <w:sz w:val="18"/>
                <w:szCs w:val="18"/>
              </w:rPr>
            </w:pPr>
            <w:r w:rsidRPr="00FC4556">
              <w:rPr>
                <w:rFonts w:ascii="Times New Roman" w:eastAsia="Times New Roman" w:hAnsi="Times New Roman" w:cs="Times New Roman"/>
                <w:b/>
                <w:sz w:val="18"/>
                <w:szCs w:val="18"/>
              </w:rPr>
              <w:t>Merateľnosť</w:t>
            </w: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b/>
                <w:sz w:val="18"/>
                <w:szCs w:val="18"/>
              </w:rPr>
            </w:pPr>
            <w:r w:rsidRPr="00FC4556">
              <w:rPr>
                <w:rFonts w:ascii="Times New Roman" w:eastAsia="Times New Roman" w:hAnsi="Times New Roman" w:cs="Times New Roman"/>
                <w:b/>
                <w:sz w:val="18"/>
                <w:szCs w:val="18"/>
              </w:rPr>
              <w:t>Cieľová hodnota</w:t>
            </w:r>
          </w:p>
        </w:tc>
        <w:tc>
          <w:tcPr>
            <w:tcW w:w="4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b/>
                <w:sz w:val="18"/>
                <w:szCs w:val="18"/>
              </w:rPr>
            </w:pPr>
            <w:r w:rsidRPr="00FC4556">
              <w:rPr>
                <w:rFonts w:ascii="Times New Roman" w:eastAsia="Times New Roman" w:hAnsi="Times New Roman" w:cs="Times New Roman"/>
                <w:b/>
                <w:sz w:val="18"/>
                <w:szCs w:val="18"/>
              </w:rPr>
              <w:t>Doplnkové informácie</w:t>
            </w:r>
          </w:p>
        </w:tc>
      </w:tr>
      <w:tr w:rsidR="009E68C8" w:rsidRPr="00A451C5" w:rsidTr="0039623C">
        <w:trPr>
          <w:trHeight w:val="810"/>
        </w:trPr>
        <w:tc>
          <w:tcPr>
            <w:tcW w:w="20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Veľkosť populácie</w:t>
            </w:r>
          </w:p>
        </w:tc>
        <w:tc>
          <w:tcPr>
            <w:tcW w:w="14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 jedincov (adult)</w:t>
            </w: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Viac ako 20 jedincov</w:t>
            </w:r>
          </w:p>
        </w:tc>
        <w:tc>
          <w:tcPr>
            <w:tcW w:w="4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Odhaduje sa; bude potrebný komplexnejší monitoring populácie druhu.</w:t>
            </w:r>
          </w:p>
        </w:tc>
      </w:tr>
      <w:tr w:rsidR="009E68C8" w:rsidRPr="00A451C5" w:rsidTr="0039623C">
        <w:trPr>
          <w:trHeight w:val="930"/>
        </w:trPr>
        <w:tc>
          <w:tcPr>
            <w:tcW w:w="20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 známych lokalít s výskytom druhu</w:t>
            </w:r>
          </w:p>
        </w:tc>
        <w:tc>
          <w:tcPr>
            <w:tcW w:w="14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počet</w:t>
            </w: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hAnsi="Times New Roman" w:cs="Times New Roman"/>
                <w:sz w:val="18"/>
                <w:szCs w:val="18"/>
              </w:rPr>
              <w:t>1</w:t>
            </w:r>
          </w:p>
        </w:tc>
        <w:tc>
          <w:tcPr>
            <w:tcW w:w="4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Udržiavaný počet zistených lokalít druhu, príp. zvýšenie počtu vytvorením nových lokalít druhu s vhodnými podmienkami pre reprodukciu</w:t>
            </w:r>
          </w:p>
        </w:tc>
      </w:tr>
      <w:tr w:rsidR="009E68C8" w:rsidRPr="00A451C5" w:rsidTr="0039623C">
        <w:trPr>
          <w:trHeight w:val="268"/>
        </w:trPr>
        <w:tc>
          <w:tcPr>
            <w:tcW w:w="20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Podiel potenciálneho reprodukčného biotopu v rámci lokality</w:t>
            </w:r>
          </w:p>
        </w:tc>
        <w:tc>
          <w:tcPr>
            <w:tcW w:w="14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Percento z výmery lokality</w:t>
            </w: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Min. 5 % lokality</w:t>
            </w:r>
          </w:p>
        </w:tc>
        <w:tc>
          <w:tcPr>
            <w:tcW w:w="4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68C8" w:rsidRPr="00FC4556" w:rsidRDefault="009E68C8" w:rsidP="0039623C">
            <w:pPr>
              <w:jc w:val="center"/>
              <w:rPr>
                <w:rFonts w:ascii="Times New Roman" w:eastAsia="Times New Roman" w:hAnsi="Times New Roman" w:cs="Times New Roman"/>
                <w:sz w:val="18"/>
                <w:szCs w:val="18"/>
              </w:rPr>
            </w:pPr>
            <w:r w:rsidRPr="00FC4556">
              <w:rPr>
                <w:rFonts w:ascii="Times New Roman" w:eastAsia="Times New Roman" w:hAnsi="Times New Roman" w:cs="Times New Roman"/>
                <w:sz w:val="18"/>
                <w:szCs w:val="18"/>
              </w:rPr>
              <w:t>Podiel reprodukčných plôch v rámci lokality (v rámci nížinných lúk a lesov v ha) – stojaté vodné plochy s vegetáciou, periodicky zaplavované plochy v alúviu, niekedy aj v koľajách na cestách a mlákach.</w:t>
            </w:r>
          </w:p>
        </w:tc>
      </w:tr>
    </w:tbl>
    <w:p w:rsidR="009E68C8" w:rsidRPr="00A451C5" w:rsidRDefault="009E68C8" w:rsidP="009E68C8">
      <w:pPr>
        <w:rPr>
          <w:rFonts w:ascii="Times New Roman" w:hAnsi="Times New Roman" w:cs="Times New Roman"/>
        </w:rPr>
      </w:pPr>
    </w:p>
    <w:p w:rsidR="009E68C8" w:rsidRPr="00A451C5" w:rsidRDefault="009E68C8" w:rsidP="009E68C8">
      <w:pPr>
        <w:rPr>
          <w:rFonts w:ascii="Times New Roman" w:hAnsi="Times New Roman" w:cs="Times New Roman"/>
        </w:rPr>
      </w:pPr>
    </w:p>
    <w:p w:rsidR="009E68C8" w:rsidRPr="00A451C5" w:rsidRDefault="009E68C8" w:rsidP="009E68C8">
      <w:pPr>
        <w:spacing w:after="0"/>
        <w:jc w:val="left"/>
        <w:rPr>
          <w:rFonts w:ascii="Times New Roman" w:hAnsi="Times New Roman" w:cs="Times New Roman"/>
          <w:b/>
          <w:i/>
          <w:iCs/>
          <w:szCs w:val="24"/>
          <w:u w:val="single"/>
        </w:rPr>
      </w:pPr>
    </w:p>
    <w:p w:rsidR="009E68C8" w:rsidRPr="00A451C5" w:rsidRDefault="009E68C8" w:rsidP="009E68C8">
      <w:pPr>
        <w:jc w:val="center"/>
        <w:rPr>
          <w:rFonts w:ascii="Times New Roman" w:hAnsi="Times New Roman" w:cs="Times New Roman"/>
        </w:rPr>
      </w:pPr>
    </w:p>
    <w:p w:rsidR="009E68C8" w:rsidRPr="00A451C5" w:rsidRDefault="009E68C8" w:rsidP="009E68C8">
      <w:pPr>
        <w:rPr>
          <w:rFonts w:ascii="Times New Roman" w:hAnsi="Times New Roman" w:cs="Times New Roman"/>
        </w:rPr>
      </w:pPr>
    </w:p>
    <w:p w:rsidR="00E866E7" w:rsidRDefault="00E866E7"/>
    <w:sectPr w:rsidR="00E866E7">
      <w:footerReference w:type="default" r:id="rId4"/>
      <w:pgSz w:w="11906" w:h="16838"/>
      <w:pgMar w:top="1134" w:right="1418" w:bottom="1134" w:left="1418" w:header="0"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30234"/>
      <w:docPartObj>
        <w:docPartGallery w:val="Page Numbers (Bottom of Page)"/>
        <w:docPartUnique/>
      </w:docPartObj>
    </w:sdtPr>
    <w:sdtEndPr/>
    <w:sdtContent>
      <w:p w:rsidR="00FB0413" w:rsidRDefault="009E68C8">
        <w:pPr>
          <w:pStyle w:val="Pta"/>
          <w:jc w:val="right"/>
        </w:pPr>
        <w:r>
          <w:fldChar w:fldCharType="begin"/>
        </w:r>
        <w:r>
          <w:instrText>PAGE   \* MERGEFORMAT</w:instrText>
        </w:r>
        <w:r>
          <w:fldChar w:fldCharType="separate"/>
        </w:r>
        <w:r w:rsidRPr="009E68C8">
          <w:rPr>
            <w:noProof/>
            <w:lang w:val="sk-SK"/>
          </w:rPr>
          <w:t>4</w:t>
        </w:r>
        <w:r>
          <w:fldChar w:fldCharType="end"/>
        </w:r>
      </w:p>
    </w:sdtContent>
  </w:sdt>
  <w:p w:rsidR="00FB0413" w:rsidRDefault="009E68C8">
    <w:pPr>
      <w:pStyle w:val="Pt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C8"/>
    <w:rsid w:val="009E68C8"/>
    <w:rsid w:val="00E866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066D"/>
  <w15:chartTrackingRefBased/>
  <w15:docId w15:val="{9E66A763-95DA-4BD2-AAB1-59A68F2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68C8"/>
    <w:pPr>
      <w:spacing w:after="120" w:line="240" w:lineRule="auto"/>
      <w:jc w:val="both"/>
    </w:pPr>
    <w:rPr>
      <w:sz w:val="20"/>
      <w:szCs w:val="20"/>
      <w:lang w:eastAsia="sk-SK"/>
    </w:rPr>
  </w:style>
  <w:style w:type="paragraph" w:styleId="Nadpis1">
    <w:name w:val="heading 1"/>
    <w:basedOn w:val="Normlny"/>
    <w:link w:val="Nadpis1Char"/>
    <w:uiPriority w:val="9"/>
    <w:qFormat/>
    <w:rsid w:val="009E68C8"/>
    <w:pPr>
      <w:spacing w:before="100" w:beforeAutospacing="1" w:after="0"/>
      <w:jc w:val="center"/>
      <w:outlineLvl w:val="0"/>
    </w:pPr>
    <w:rPr>
      <w:rFonts w:ascii="Times New Roman" w:eastAsia="Times New Roman" w:hAnsi="Times New Roman"/>
      <w:b/>
      <w:bCs/>
      <w:i/>
      <w:kern w:val="2"/>
      <w:sz w:val="24"/>
      <w:szCs w:val="48"/>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9E68C8"/>
    <w:rPr>
      <w:rFonts w:ascii="Times New Roman" w:eastAsia="Times New Roman" w:hAnsi="Times New Roman"/>
      <w:b/>
      <w:bCs/>
      <w:i/>
      <w:kern w:val="2"/>
      <w:sz w:val="24"/>
      <w:szCs w:val="48"/>
      <w:u w:val="single"/>
      <w:lang w:val="x-none" w:eastAsia="sk-SK"/>
    </w:rPr>
  </w:style>
  <w:style w:type="character" w:customStyle="1" w:styleId="PtaChar">
    <w:name w:val="Päta Char"/>
    <w:basedOn w:val="Predvolenpsmoodseku"/>
    <w:link w:val="Pta"/>
    <w:uiPriority w:val="99"/>
    <w:qFormat/>
    <w:rsid w:val="009E68C8"/>
    <w:rPr>
      <w:rFonts w:ascii="Calibri" w:eastAsia="Calibri" w:hAnsi="Calibri" w:cs="Times New Roman"/>
      <w:sz w:val="20"/>
      <w:szCs w:val="20"/>
      <w:lang w:val="x-none" w:eastAsia="x-none"/>
    </w:rPr>
  </w:style>
  <w:style w:type="character" w:customStyle="1" w:styleId="ZkladntextChar">
    <w:name w:val="Základný text Char"/>
    <w:basedOn w:val="Predvolenpsmoodseku"/>
    <w:link w:val="Zkladntext"/>
    <w:uiPriority w:val="99"/>
    <w:qFormat/>
    <w:rsid w:val="009E68C8"/>
    <w:rPr>
      <w:rFonts w:ascii="Times New Roman" w:eastAsia="Times New Roman" w:hAnsi="Times New Roman" w:cs="Times New Roman"/>
      <w:b/>
      <w:bCs/>
      <w:sz w:val="24"/>
      <w:szCs w:val="24"/>
      <w:lang w:val="x-none" w:eastAsia="cs-CZ"/>
    </w:rPr>
  </w:style>
  <w:style w:type="paragraph" w:styleId="Zkladntext">
    <w:name w:val="Body Text"/>
    <w:basedOn w:val="Normlny"/>
    <w:link w:val="ZkladntextChar"/>
    <w:uiPriority w:val="99"/>
    <w:rsid w:val="009E68C8"/>
    <w:pPr>
      <w:spacing w:after="0"/>
      <w:jc w:val="center"/>
    </w:pPr>
    <w:rPr>
      <w:rFonts w:ascii="Times New Roman" w:eastAsia="Times New Roman" w:hAnsi="Times New Roman" w:cs="Times New Roman"/>
      <w:b/>
      <w:bCs/>
      <w:sz w:val="24"/>
      <w:szCs w:val="24"/>
      <w:lang w:val="x-none" w:eastAsia="cs-CZ"/>
    </w:rPr>
  </w:style>
  <w:style w:type="character" w:customStyle="1" w:styleId="ZkladntextChar1">
    <w:name w:val="Základný text Char1"/>
    <w:basedOn w:val="Predvolenpsmoodseku"/>
    <w:uiPriority w:val="99"/>
    <w:semiHidden/>
    <w:rsid w:val="009E68C8"/>
    <w:rPr>
      <w:sz w:val="20"/>
      <w:szCs w:val="20"/>
      <w:lang w:eastAsia="sk-SK"/>
    </w:rPr>
  </w:style>
  <w:style w:type="paragraph" w:styleId="Pta">
    <w:name w:val="footer"/>
    <w:basedOn w:val="Normlny"/>
    <w:link w:val="PtaChar"/>
    <w:uiPriority w:val="99"/>
    <w:unhideWhenUsed/>
    <w:rsid w:val="009E68C8"/>
    <w:pPr>
      <w:tabs>
        <w:tab w:val="center" w:pos="4536"/>
        <w:tab w:val="right" w:pos="9072"/>
      </w:tabs>
      <w:spacing w:after="0"/>
    </w:pPr>
    <w:rPr>
      <w:rFonts w:ascii="Calibri" w:eastAsia="Calibri" w:hAnsi="Calibri" w:cs="Times New Roman"/>
      <w:lang w:val="x-none" w:eastAsia="x-none"/>
    </w:rPr>
  </w:style>
  <w:style w:type="character" w:customStyle="1" w:styleId="PtaChar1">
    <w:name w:val="Päta Char1"/>
    <w:basedOn w:val="Predvolenpsmoodseku"/>
    <w:uiPriority w:val="99"/>
    <w:semiHidden/>
    <w:rsid w:val="009E68C8"/>
    <w:rPr>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2024-06-24T12:25:00Z</dcterms:created>
  <dcterms:modified xsi:type="dcterms:W3CDTF">2024-06-24T12:27:00Z</dcterms:modified>
</cp:coreProperties>
</file>