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674" w:rsidRPr="003B6DBD" w:rsidRDefault="00CB0674" w:rsidP="00CB0674">
      <w:pPr>
        <w:pStyle w:val="Nadpis1"/>
        <w:jc w:val="both"/>
      </w:pPr>
      <w:bookmarkStart w:id="0" w:name="_Toc168324707"/>
      <w:bookmarkStart w:id="1" w:name="_Toc168327959"/>
      <w:r w:rsidRPr="003B6DBD">
        <w:t>SKUEV4082 Pod Hradovou</w:t>
      </w:r>
      <w:bookmarkEnd w:id="0"/>
      <w:bookmarkEnd w:id="1"/>
    </w:p>
    <w:p w:rsidR="00CB0674" w:rsidRPr="00A451C5" w:rsidRDefault="00CB0674" w:rsidP="00CB0674">
      <w:pPr>
        <w:ind w:firstLine="708"/>
        <w:rPr>
          <w:rFonts w:ascii="Times New Roman" w:hAnsi="Times New Roman" w:cs="Times New Roman"/>
        </w:rPr>
      </w:pPr>
    </w:p>
    <w:p w:rsidR="00CB0674" w:rsidRPr="00CB0674" w:rsidRDefault="00CB0674" w:rsidP="00CB0674">
      <w:pPr>
        <w:pStyle w:val="Zkladntext"/>
        <w:widowControl w:val="0"/>
        <w:spacing w:after="120"/>
        <w:jc w:val="both"/>
        <w:rPr>
          <w:lang w:val="sk-SK"/>
        </w:rPr>
      </w:pPr>
      <w:r w:rsidRPr="00CB0674">
        <w:rPr>
          <w:lang w:val="sk-SK"/>
        </w:rPr>
        <w:t>Ciele ochrany:</w:t>
      </w:r>
    </w:p>
    <w:p w:rsidR="00CB0674" w:rsidRPr="00A451C5" w:rsidRDefault="00CB0674" w:rsidP="00CB0674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  <w:lang w:val="sk-SK"/>
        </w:rPr>
        <w:t>Zlepšenie</w:t>
      </w:r>
      <w:r w:rsidRPr="00A451C5">
        <w:rPr>
          <w:b w:val="0"/>
        </w:rPr>
        <w:t xml:space="preserve"> stavu</w:t>
      </w:r>
      <w:r w:rsidRPr="00A451C5">
        <w:t xml:space="preserve"> </w:t>
      </w:r>
      <w:r w:rsidRPr="00A451C5">
        <w:rPr>
          <w:b w:val="0"/>
        </w:rPr>
        <w:t>biotopu</w:t>
      </w:r>
      <w:r w:rsidRPr="00A451C5">
        <w:rPr>
          <w:b w:val="0"/>
          <w:lang w:val="sk-SK"/>
        </w:rPr>
        <w:t xml:space="preserve"> </w:t>
      </w:r>
      <w:r w:rsidRPr="00A451C5">
        <w:rPr>
          <w:lang w:val="sk-SK"/>
        </w:rPr>
        <w:t>Lk1</w:t>
      </w:r>
      <w:r w:rsidRPr="00A451C5">
        <w:t xml:space="preserve"> </w:t>
      </w:r>
      <w:r w:rsidRPr="00A451C5">
        <w:rPr>
          <w:lang w:val="sk-SK"/>
        </w:rPr>
        <w:t>(</w:t>
      </w:r>
      <w:r w:rsidRPr="00A451C5">
        <w:t>6510</w:t>
      </w:r>
      <w:r w:rsidRPr="00A451C5">
        <w:rPr>
          <w:lang w:val="sk-SK"/>
        </w:rPr>
        <w:t>)</w:t>
      </w:r>
      <w:r w:rsidRPr="00A451C5">
        <w:t xml:space="preserve"> Nížinné a podhorské kosné lúky </w:t>
      </w:r>
      <w:r w:rsidRPr="00A451C5">
        <w:rPr>
          <w:b w:val="0"/>
        </w:rPr>
        <w:t>za splnenia nasledovných atrib</w:t>
      </w:r>
      <w:bookmarkStart w:id="2" w:name="_GoBack"/>
      <w:bookmarkEnd w:id="2"/>
      <w:r w:rsidRPr="00A451C5">
        <w:rPr>
          <w:b w:val="0"/>
        </w:rPr>
        <w:t>útov:</w:t>
      </w:r>
    </w:p>
    <w:tbl>
      <w:tblPr>
        <w:tblW w:w="914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690"/>
        <w:gridCol w:w="1451"/>
        <w:gridCol w:w="1105"/>
        <w:gridCol w:w="4896"/>
      </w:tblGrid>
      <w:tr w:rsidR="00CB0674" w:rsidRPr="00A451C5" w:rsidTr="0039623C">
        <w:trPr>
          <w:trHeight w:val="290"/>
        </w:trPr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B0674" w:rsidRPr="00A451C5" w:rsidRDefault="00CB0674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hAnsi="Times New Roman" w:cs="Times New Roman"/>
                <w:b/>
              </w:rPr>
              <w:t>Parameter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B0674" w:rsidRPr="00A451C5" w:rsidRDefault="00CB0674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hAnsi="Times New Roman" w:cs="Times New Roman"/>
                <w:b/>
              </w:rPr>
              <w:t>Merateľnosť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B0674" w:rsidRPr="00A451C5" w:rsidRDefault="00CB0674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hAnsi="Times New Roman" w:cs="Times New Roman"/>
                <w:b/>
              </w:rPr>
              <w:t>Cieľová hodnota</w:t>
            </w:r>
          </w:p>
        </w:tc>
        <w:tc>
          <w:tcPr>
            <w:tcW w:w="4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B0674" w:rsidRPr="00A451C5" w:rsidRDefault="00CB0674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hAnsi="Times New Roman" w:cs="Times New Roman"/>
                <w:b/>
              </w:rPr>
              <w:t>Doplnkové informácie</w:t>
            </w:r>
          </w:p>
        </w:tc>
      </w:tr>
      <w:tr w:rsidR="00CB0674" w:rsidRPr="00A451C5" w:rsidTr="0039623C">
        <w:trPr>
          <w:trHeight w:val="290"/>
        </w:trPr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B0674" w:rsidRPr="00A451C5" w:rsidRDefault="00CB0674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eastAsia="Times New Roman" w:hAnsi="Times New Roman" w:cs="Times New Roman"/>
              </w:rPr>
              <w:t>Výmera biotopu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B0674" w:rsidRPr="00A451C5" w:rsidRDefault="00CB0674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eastAsia="Times New Roman" w:hAnsi="Times New Roman" w:cs="Times New Roman"/>
              </w:rPr>
              <w:t>ha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B0674" w:rsidRPr="00A451C5" w:rsidRDefault="00CB0674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4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B0674" w:rsidRPr="00A451C5" w:rsidRDefault="00CB0674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eastAsia="Times New Roman" w:hAnsi="Times New Roman" w:cs="Times New Roman"/>
              </w:rPr>
              <w:t>Udržať výmeru biotopu</w:t>
            </w:r>
          </w:p>
        </w:tc>
      </w:tr>
      <w:tr w:rsidR="00CB0674" w:rsidRPr="00A451C5" w:rsidTr="0039623C">
        <w:trPr>
          <w:trHeight w:val="6090"/>
        </w:trPr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B0674" w:rsidRPr="00A451C5" w:rsidRDefault="00CB0674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eastAsia="Times New Roman" w:hAnsi="Times New Roman" w:cs="Times New Roman"/>
              </w:rPr>
              <w:t>Zastúpenie charakteristických druhov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B0674" w:rsidRPr="00A451C5" w:rsidRDefault="00CB0674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eastAsia="Times New Roman" w:hAnsi="Times New Roman" w:cs="Times New Roman"/>
              </w:rPr>
              <w:t>počet druhov/16 m</w:t>
            </w:r>
            <w:r w:rsidRPr="00A451C5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B0674" w:rsidRPr="00A451C5" w:rsidRDefault="00CB0674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eastAsia="Times New Roman" w:hAnsi="Times New Roman" w:cs="Times New Roman"/>
              </w:rPr>
              <w:t>najmenej 15 druhov</w:t>
            </w:r>
          </w:p>
        </w:tc>
        <w:tc>
          <w:tcPr>
            <w:tcW w:w="4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B0674" w:rsidRPr="00A451C5" w:rsidRDefault="00CB0674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eastAsia="Times New Roman" w:hAnsi="Times New Roman" w:cs="Times New Roman"/>
              </w:rPr>
              <w:t xml:space="preserve">Charakteristické/typické druhové zloženie: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Acetosa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pratensis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Acetosella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vulgaris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Agrimonia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eupatoria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Agrostis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capillaris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Achillea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millefolium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Alchemilla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sp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.,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Antoxanthum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odoratum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Arrhenatherum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elatius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Briza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media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Campanula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patula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Carex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hirta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Carex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pallescens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Carex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tomentosa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Carlina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acaulis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Carum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carvi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Cerastium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holosteoides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Colchicum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autumnale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Colymbada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scabiosa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Crepis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biennis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Cruciata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glabra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Cynosurus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cristatus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Dactylis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glomerata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Daucus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carota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Deschampsia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cespitosa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Equisetum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arvense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Festuca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pratensis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Festuca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rubra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Festuca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rupicola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Fragaria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viridis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Galium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mollugo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agg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.,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Galium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verum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Hypericum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maculatum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Hypericum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perforatum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Jacea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phrygia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agg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.,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Jacea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pratensis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Knautia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arvensis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Lathyrus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pratensis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Leontodon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hispidus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Leontodon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autumnalis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Leucanthemum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vulgare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Linum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catharticum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Lotus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corniculatus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Luzula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campestris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Lychnis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flos-cuculi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Medicago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lupulina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Myosotis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arvensis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Origanum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vulgare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Pastinaca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sativa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Phleum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pratense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Pilosella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officinarum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Pimpinella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major,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Pimpinella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saxifraga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Plantago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lanceolata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Plantago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media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Poa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pratensis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Polygala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vulgaris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Potentilla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argentea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Potentilla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erecta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Potentilla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reptans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Prunella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vulgaris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Ranunculus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acris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Ranunculus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polyanthemos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Ranunculus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repens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Rhinanthus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minor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Salvia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pratensis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Sanguisorba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minor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Securigera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varia, Silene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vulgaris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Stellaria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graminea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Taraxacum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officinale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Thymus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pulegioides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Tithymalus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cyparissias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Tragopogon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orientalis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Trifolium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montanum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Trifolium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pratense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Trifolium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repens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Trisetum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flavescens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Veronica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chamaedrys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Vicia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cracca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Vicia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sepium</w:t>
            </w:r>
            <w:proofErr w:type="spellEnd"/>
          </w:p>
        </w:tc>
      </w:tr>
      <w:tr w:rsidR="00CB0674" w:rsidRPr="00A451C5" w:rsidTr="0039623C">
        <w:trPr>
          <w:trHeight w:val="290"/>
        </w:trPr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B0674" w:rsidRPr="00A451C5" w:rsidRDefault="00CB0674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eastAsia="Times New Roman" w:hAnsi="Times New Roman" w:cs="Times New Roman"/>
              </w:rPr>
              <w:t>Vertikálna štruktúra biotopu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B0674" w:rsidRPr="00A451C5" w:rsidRDefault="00CB0674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eastAsia="Times New Roman" w:hAnsi="Times New Roman" w:cs="Times New Roman"/>
              </w:rPr>
              <w:t>percento pokrytia drevín a krovín/plocha biotopu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B0674" w:rsidRPr="00A451C5" w:rsidRDefault="00CB0674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eastAsia="Times New Roman" w:hAnsi="Times New Roman" w:cs="Times New Roman"/>
              </w:rPr>
              <w:t>menej ako 30 %</w:t>
            </w:r>
          </w:p>
        </w:tc>
        <w:tc>
          <w:tcPr>
            <w:tcW w:w="4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B0674" w:rsidRPr="00A451C5" w:rsidRDefault="00CB0674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eastAsia="Times New Roman" w:hAnsi="Times New Roman" w:cs="Times New Roman"/>
              </w:rPr>
              <w:t>Udržané nízke zastúpenie drevín a krovín</w:t>
            </w:r>
          </w:p>
        </w:tc>
      </w:tr>
      <w:tr w:rsidR="00CB0674" w:rsidRPr="00A451C5" w:rsidTr="0039623C">
        <w:trPr>
          <w:trHeight w:val="850"/>
        </w:trPr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B0674" w:rsidRPr="00A451C5" w:rsidRDefault="00CB0674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eastAsia="Times New Roman" w:hAnsi="Times New Roman" w:cs="Times New Roman"/>
              </w:rPr>
              <w:t xml:space="preserve">Zastúpenie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</w:rPr>
              <w:t>alochtónnych</w:t>
            </w:r>
            <w:proofErr w:type="spellEnd"/>
            <w:r w:rsidRPr="00A451C5">
              <w:rPr>
                <w:rFonts w:ascii="Times New Roman" w:eastAsia="Times New Roman" w:hAnsi="Times New Roman" w:cs="Times New Roman"/>
              </w:rPr>
              <w:t xml:space="preserve"> /inváznych/invázne sa správajúcich druhov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B0674" w:rsidRPr="00A451C5" w:rsidRDefault="00CB0674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eastAsia="Times New Roman" w:hAnsi="Times New Roman" w:cs="Times New Roman"/>
              </w:rPr>
              <w:t>percento pokrytia/25 m</w:t>
            </w:r>
            <w:r w:rsidRPr="00A451C5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B0674" w:rsidRPr="00A451C5" w:rsidRDefault="00CB0674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menej ako 15% nepôvodných a menej ako 1 % inváznych druhov</w:t>
            </w:r>
          </w:p>
        </w:tc>
        <w:tc>
          <w:tcPr>
            <w:tcW w:w="4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B0674" w:rsidRPr="00A451C5" w:rsidRDefault="00CB0674" w:rsidP="0039623C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Minimálne zastúpenie inváznych druhov (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Solidago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canadensis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– do 1 %, a zastúpenie expanzívnych a invázne sa správajúcich druhov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druhov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(napr.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Bunias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orientalis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Calamagrostis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epigejos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Stenactis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annua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) – do 15 %.</w:t>
            </w:r>
          </w:p>
        </w:tc>
      </w:tr>
    </w:tbl>
    <w:p w:rsidR="00CB0674" w:rsidRPr="00A451C5" w:rsidRDefault="00CB0674" w:rsidP="00CB0674">
      <w:pPr>
        <w:rPr>
          <w:rFonts w:ascii="Times New Roman" w:hAnsi="Times New Roman" w:cs="Times New Roman"/>
          <w:szCs w:val="24"/>
        </w:rPr>
      </w:pPr>
    </w:p>
    <w:p w:rsidR="00CB0674" w:rsidRPr="00CB0674" w:rsidRDefault="00CB0674" w:rsidP="00CB0674">
      <w:pPr>
        <w:rPr>
          <w:rFonts w:ascii="Times New Roman" w:hAnsi="Times New Roman" w:cs="Times New Roman"/>
          <w:sz w:val="24"/>
          <w:szCs w:val="24"/>
        </w:rPr>
      </w:pPr>
      <w:r w:rsidRPr="00CB0674">
        <w:rPr>
          <w:rFonts w:ascii="Times New Roman" w:hAnsi="Times New Roman" w:cs="Times New Roman"/>
          <w:sz w:val="24"/>
          <w:szCs w:val="24"/>
        </w:rPr>
        <w:t xml:space="preserve">Zlepšenie stavu biotopu </w:t>
      </w:r>
      <w:r w:rsidRPr="00CB0674">
        <w:rPr>
          <w:rFonts w:ascii="Times New Roman" w:hAnsi="Times New Roman" w:cs="Times New Roman"/>
          <w:b/>
          <w:sz w:val="24"/>
          <w:szCs w:val="24"/>
        </w:rPr>
        <w:t xml:space="preserve">Tr1 (6210) </w:t>
      </w:r>
      <w:r w:rsidRPr="00CB0674">
        <w:rPr>
          <w:rFonts w:ascii="Times New Roman" w:eastAsia="Times New Roman" w:hAnsi="Times New Roman" w:cs="Times New Roman"/>
          <w:b/>
          <w:sz w:val="24"/>
          <w:szCs w:val="24"/>
        </w:rPr>
        <w:t xml:space="preserve">Suchomilné </w:t>
      </w:r>
      <w:proofErr w:type="spellStart"/>
      <w:r w:rsidRPr="00CB0674">
        <w:rPr>
          <w:rFonts w:ascii="Times New Roman" w:eastAsia="Times New Roman" w:hAnsi="Times New Roman" w:cs="Times New Roman"/>
          <w:b/>
          <w:sz w:val="24"/>
          <w:szCs w:val="24"/>
        </w:rPr>
        <w:t>travinno</w:t>
      </w:r>
      <w:proofErr w:type="spellEnd"/>
      <w:r w:rsidRPr="00CB0674">
        <w:rPr>
          <w:rFonts w:ascii="Times New Roman" w:eastAsia="Times New Roman" w:hAnsi="Times New Roman" w:cs="Times New Roman"/>
          <w:b/>
          <w:sz w:val="24"/>
          <w:szCs w:val="24"/>
        </w:rPr>
        <w:t xml:space="preserve">-bylinné a krovinové porasty na vápnitom substráte </w:t>
      </w:r>
      <w:r w:rsidRPr="00CB0674">
        <w:rPr>
          <w:rFonts w:ascii="Times New Roman" w:eastAsia="Times New Roman" w:hAnsi="Times New Roman" w:cs="Times New Roman"/>
          <w:sz w:val="24"/>
          <w:szCs w:val="24"/>
        </w:rPr>
        <w:t>za splnenia nasledovných atribútov:</w:t>
      </w:r>
    </w:p>
    <w:tbl>
      <w:tblPr>
        <w:tblW w:w="943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6"/>
        <w:gridCol w:w="1140"/>
        <w:gridCol w:w="1268"/>
        <w:gridCol w:w="4437"/>
      </w:tblGrid>
      <w:tr w:rsidR="00CB0674" w:rsidRPr="00A451C5" w:rsidTr="0039623C">
        <w:trPr>
          <w:trHeight w:val="705"/>
        </w:trPr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0674" w:rsidRPr="00A451C5" w:rsidRDefault="00CB0674" w:rsidP="0039623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51C5">
              <w:rPr>
                <w:rFonts w:ascii="Times New Roman" w:eastAsia="Times New Roman" w:hAnsi="Times New Roman" w:cs="Times New Roman"/>
                <w:b/>
              </w:rPr>
              <w:lastRenderedPageBreak/>
              <w:t>Parameter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0674" w:rsidRPr="00A451C5" w:rsidRDefault="00CB0674" w:rsidP="0039623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51C5">
              <w:rPr>
                <w:rFonts w:ascii="Times New Roman" w:eastAsia="Times New Roman" w:hAnsi="Times New Roman" w:cs="Times New Roman"/>
                <w:b/>
              </w:rPr>
              <w:t>Merateľný indikátor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0674" w:rsidRPr="00A451C5" w:rsidRDefault="00CB0674" w:rsidP="0039623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51C5">
              <w:rPr>
                <w:rFonts w:ascii="Times New Roman" w:eastAsia="Times New Roman" w:hAnsi="Times New Roman" w:cs="Times New Roman"/>
                <w:b/>
              </w:rPr>
              <w:t>Cieľová hodnota</w:t>
            </w:r>
          </w:p>
        </w:tc>
        <w:tc>
          <w:tcPr>
            <w:tcW w:w="4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0674" w:rsidRPr="00A451C5" w:rsidRDefault="00CB0674" w:rsidP="0039623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51C5">
              <w:rPr>
                <w:rFonts w:ascii="Times New Roman" w:eastAsia="Times New Roman" w:hAnsi="Times New Roman" w:cs="Times New Roman"/>
                <w:b/>
              </w:rPr>
              <w:t>Poznámky/Doplňujúce informácie</w:t>
            </w:r>
          </w:p>
        </w:tc>
      </w:tr>
      <w:tr w:rsidR="00CB0674" w:rsidRPr="00A451C5" w:rsidTr="0039623C">
        <w:trPr>
          <w:trHeight w:val="290"/>
        </w:trPr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0674" w:rsidRPr="00A451C5" w:rsidRDefault="00CB0674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Výmera biotopu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0674" w:rsidRPr="00A451C5" w:rsidRDefault="00CB0674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B0674" w:rsidRPr="00A451C5" w:rsidRDefault="00CB0674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4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0674" w:rsidRPr="00A451C5" w:rsidRDefault="00CB0674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Min. udržať výmeru biotopu, príp. zvýšiť výmeru.</w:t>
            </w:r>
          </w:p>
        </w:tc>
      </w:tr>
      <w:tr w:rsidR="00CB0674" w:rsidRPr="00A451C5" w:rsidTr="0039623C">
        <w:trPr>
          <w:trHeight w:val="2900"/>
        </w:trPr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0674" w:rsidRPr="00A451C5" w:rsidRDefault="00CB0674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Zastúpenie charakteristických druhov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0674" w:rsidRPr="00A451C5" w:rsidRDefault="00CB0674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počet druhov/16 m</w:t>
            </w: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0674" w:rsidRPr="00A451C5" w:rsidRDefault="00CB0674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najmenej 10 druhov</w:t>
            </w:r>
          </w:p>
        </w:tc>
        <w:tc>
          <w:tcPr>
            <w:tcW w:w="4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0674" w:rsidRPr="00A451C5" w:rsidRDefault="00CB0674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</w:rPr>
              <w:t xml:space="preserve">Charakteristické/typické druhové zloženie: </w:t>
            </w:r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Acosta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rhenana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Anthericum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ramosum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Asperula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cynanchica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Arabis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hirsuta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Brachypodium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pinnatum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Bromus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erectus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Bromus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monocladus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Carex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humilis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Carex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michelii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Carex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tomentosa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Cirsium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pannonicum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Colymbada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scabiosa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Dorycnium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penthaphyllum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agg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.,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Festuca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rupicola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Galium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verum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Inula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ensifolia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Medicago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lupulina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Linum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catharticum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Ononis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spinosa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Phleum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phleoides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Pimpinella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saxifraga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Poa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angustifolia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Potentilla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arenaria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Potentilla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heptaphylla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Prunella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laciniata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Salvia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pratensis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Sanguisorba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minor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Scabiosa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ochroleuca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Securigera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varia,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Teucryum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chmaedrys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Trifolium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alpestre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Trifolium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montanum</w:t>
            </w:r>
            <w:proofErr w:type="spellEnd"/>
          </w:p>
        </w:tc>
      </w:tr>
      <w:tr w:rsidR="00CB0674" w:rsidRPr="00A451C5" w:rsidTr="0039623C">
        <w:trPr>
          <w:trHeight w:val="290"/>
        </w:trPr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0674" w:rsidRPr="00A451C5" w:rsidRDefault="00CB0674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Vertikálna štruktúra biotopu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0674" w:rsidRPr="00A451C5" w:rsidRDefault="00CB0674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percento pokrytia drevín a krovín/plocha biotopu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0674" w:rsidRPr="00A451C5" w:rsidRDefault="00CB0674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menej ako 40 %</w:t>
            </w:r>
          </w:p>
        </w:tc>
        <w:tc>
          <w:tcPr>
            <w:tcW w:w="4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0674" w:rsidRPr="00A451C5" w:rsidRDefault="00CB0674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</w:rPr>
              <w:t>Udržané nízke zastúpenie drevín a krovín</w:t>
            </w:r>
          </w:p>
        </w:tc>
      </w:tr>
      <w:tr w:rsidR="00CB0674" w:rsidRPr="00A451C5" w:rsidTr="0039623C">
        <w:trPr>
          <w:trHeight w:val="850"/>
        </w:trPr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0674" w:rsidRPr="00A451C5" w:rsidRDefault="00CB0674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Zastúpenie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alochtónnych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/inváznych/invázne sa správajúcich druhov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0674" w:rsidRPr="00A451C5" w:rsidRDefault="00CB0674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percento pokrytia/25 m</w:t>
            </w: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0674" w:rsidRPr="00A451C5" w:rsidRDefault="00CB0674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eastAsia="Times New Roman" w:hAnsi="Times New Roman" w:cs="Times New Roman"/>
              </w:rPr>
              <w:t>menej ako 15% nepôvodných, a menej ako 1 % inváznych druhov</w:t>
            </w:r>
          </w:p>
        </w:tc>
        <w:tc>
          <w:tcPr>
            <w:tcW w:w="4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0674" w:rsidRPr="00A451C5" w:rsidRDefault="00CB0674" w:rsidP="0039623C">
            <w:pPr>
              <w:rPr>
                <w:rFonts w:ascii="Times New Roman" w:eastAsia="Times New Roman" w:hAnsi="Times New Roman" w:cs="Times New Roman"/>
                <w:i/>
              </w:rPr>
            </w:pPr>
            <w:r w:rsidRPr="00A451C5">
              <w:rPr>
                <w:rFonts w:ascii="Times New Roman" w:eastAsia="Times New Roman" w:hAnsi="Times New Roman" w:cs="Times New Roman"/>
              </w:rPr>
              <w:t>Minimálne zastúpenie inváznych druhov (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Solidago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canadensi</w:t>
            </w:r>
            <w:proofErr w:type="spellEnd"/>
            <w:r w:rsidRPr="00A451C5">
              <w:rPr>
                <w:rFonts w:ascii="Times New Roman" w:eastAsia="Times New Roman" w:hAnsi="Times New Roman" w:cs="Times New Roman"/>
              </w:rPr>
              <w:t xml:space="preserve">) – do 1 %, a zastúpenie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</w:rPr>
              <w:t>sukcesných</w:t>
            </w:r>
            <w:proofErr w:type="spellEnd"/>
            <w:r w:rsidRPr="00A451C5">
              <w:rPr>
                <w:rFonts w:ascii="Times New Roman" w:eastAsia="Times New Roman" w:hAnsi="Times New Roman" w:cs="Times New Roman"/>
              </w:rPr>
              <w:t xml:space="preserve">, expanzívnych a invázne sa správajúcich druhov (napr.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Arrhenatherum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elatius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Calamagrostis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epigejos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Rubus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sp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.,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Stenactis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annua</w:t>
            </w:r>
            <w:proofErr w:type="spellEnd"/>
            <w:r w:rsidRPr="00A451C5">
              <w:rPr>
                <w:rFonts w:ascii="Times New Roman" w:eastAsia="Times New Roman" w:hAnsi="Times New Roman" w:cs="Times New Roman"/>
              </w:rPr>
              <w:t>) – do 15 %.</w:t>
            </w:r>
          </w:p>
        </w:tc>
      </w:tr>
    </w:tbl>
    <w:p w:rsidR="00CB0674" w:rsidRPr="00A451C5" w:rsidRDefault="00CB0674" w:rsidP="00CB0674">
      <w:pPr>
        <w:rPr>
          <w:rFonts w:ascii="Times New Roman" w:hAnsi="Times New Roman" w:cs="Times New Roman"/>
          <w:szCs w:val="24"/>
        </w:rPr>
      </w:pPr>
    </w:p>
    <w:p w:rsidR="00CB0674" w:rsidRPr="00A451C5" w:rsidRDefault="00CB0674" w:rsidP="00CB0674">
      <w:pPr>
        <w:rPr>
          <w:rFonts w:ascii="Times New Roman" w:hAnsi="Times New Roman" w:cs="Times New Roman"/>
          <w:color w:val="800000"/>
        </w:rPr>
      </w:pPr>
    </w:p>
    <w:p w:rsidR="00CB0674" w:rsidRPr="00A451C5" w:rsidRDefault="00CB0674" w:rsidP="00CB0674">
      <w:pPr>
        <w:rPr>
          <w:rFonts w:ascii="Times New Roman" w:hAnsi="Times New Roman" w:cs="Times New Roman"/>
          <w:color w:val="800000"/>
        </w:rPr>
      </w:pPr>
    </w:p>
    <w:p w:rsidR="00CB0674" w:rsidRPr="00A451C5" w:rsidRDefault="00CB0674" w:rsidP="00CB0674">
      <w:pPr>
        <w:rPr>
          <w:rFonts w:ascii="Times New Roman" w:hAnsi="Times New Roman" w:cs="Times New Roman"/>
          <w:color w:val="800000"/>
        </w:rPr>
      </w:pPr>
    </w:p>
    <w:p w:rsidR="00CB0674" w:rsidRPr="00A451C5" w:rsidRDefault="00CB0674" w:rsidP="00CB0674">
      <w:pPr>
        <w:rPr>
          <w:rFonts w:ascii="Times New Roman" w:hAnsi="Times New Roman" w:cs="Times New Roman"/>
          <w:color w:val="800000"/>
        </w:rPr>
      </w:pPr>
    </w:p>
    <w:p w:rsidR="00CB0674" w:rsidRPr="00A451C5" w:rsidRDefault="00CB0674" w:rsidP="00CB0674">
      <w:pPr>
        <w:rPr>
          <w:rFonts w:ascii="Times New Roman" w:hAnsi="Times New Roman" w:cs="Times New Roman"/>
          <w:color w:val="800000"/>
        </w:rPr>
      </w:pPr>
    </w:p>
    <w:p w:rsidR="00CB0674" w:rsidRPr="00A451C5" w:rsidRDefault="00CB0674" w:rsidP="00CB0674">
      <w:pPr>
        <w:rPr>
          <w:rFonts w:ascii="Times New Roman" w:hAnsi="Times New Roman" w:cs="Times New Roman"/>
          <w:color w:val="800000"/>
        </w:rPr>
      </w:pPr>
    </w:p>
    <w:p w:rsidR="00CB0674" w:rsidRPr="00A451C5" w:rsidRDefault="00CB0674" w:rsidP="00CB0674">
      <w:pPr>
        <w:rPr>
          <w:rFonts w:ascii="Times New Roman" w:hAnsi="Times New Roman" w:cs="Times New Roman"/>
          <w:color w:val="800000"/>
        </w:rPr>
      </w:pPr>
    </w:p>
    <w:p w:rsidR="00E866E7" w:rsidRDefault="00E866E7"/>
    <w:sectPr w:rsidR="00E86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674"/>
    <w:rsid w:val="00CB0674"/>
    <w:rsid w:val="00E8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AABFE"/>
  <w15:chartTrackingRefBased/>
  <w15:docId w15:val="{BC7D53F4-617D-4923-8D8C-A92B2754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B0674"/>
    <w:pPr>
      <w:spacing w:after="120" w:line="240" w:lineRule="auto"/>
      <w:jc w:val="both"/>
    </w:pPr>
    <w:rPr>
      <w:sz w:val="20"/>
      <w:szCs w:val="20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CB0674"/>
    <w:pPr>
      <w:spacing w:before="100" w:beforeAutospacing="1" w:after="0"/>
      <w:jc w:val="center"/>
      <w:outlineLvl w:val="0"/>
    </w:pPr>
    <w:rPr>
      <w:rFonts w:ascii="Times New Roman" w:eastAsia="Times New Roman" w:hAnsi="Times New Roman"/>
      <w:b/>
      <w:bCs/>
      <w:i/>
      <w:kern w:val="2"/>
      <w:sz w:val="24"/>
      <w:szCs w:val="48"/>
      <w:u w:val="single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qFormat/>
    <w:rsid w:val="00CB0674"/>
    <w:rPr>
      <w:rFonts w:ascii="Times New Roman" w:eastAsia="Times New Roman" w:hAnsi="Times New Roman"/>
      <w:b/>
      <w:bCs/>
      <w:i/>
      <w:kern w:val="2"/>
      <w:sz w:val="24"/>
      <w:szCs w:val="48"/>
      <w:u w:val="single"/>
      <w:lang w:val="x-none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CB0674"/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paragraph" w:styleId="Zkladntext">
    <w:name w:val="Body Text"/>
    <w:basedOn w:val="Normlny"/>
    <w:link w:val="ZkladntextChar"/>
    <w:uiPriority w:val="99"/>
    <w:rsid w:val="00CB0674"/>
    <w:pPr>
      <w:spacing w:after="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character" w:customStyle="1" w:styleId="ZkladntextChar1">
    <w:name w:val="Základný text Char1"/>
    <w:basedOn w:val="Predvolenpsmoodseku"/>
    <w:uiPriority w:val="99"/>
    <w:semiHidden/>
    <w:rsid w:val="00CB0674"/>
    <w:rPr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dc:description/>
  <cp:lastModifiedBy>Marta Mútňanová</cp:lastModifiedBy>
  <cp:revision>1</cp:revision>
  <dcterms:created xsi:type="dcterms:W3CDTF">2024-06-24T12:08:00Z</dcterms:created>
  <dcterms:modified xsi:type="dcterms:W3CDTF">2024-06-24T12:09:00Z</dcterms:modified>
</cp:coreProperties>
</file>