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A9" w:rsidRPr="003B6DBD" w:rsidRDefault="001D76A9" w:rsidP="001D76A9">
      <w:pPr>
        <w:pStyle w:val="Nadpis1"/>
        <w:jc w:val="both"/>
      </w:pPr>
      <w:bookmarkStart w:id="0" w:name="_Toc168324714"/>
      <w:bookmarkStart w:id="1" w:name="_Toc168327966"/>
      <w:r w:rsidRPr="003B6DBD">
        <w:t>SKUEV4073 Lúky pod Dielikom</w:t>
      </w:r>
      <w:bookmarkEnd w:id="0"/>
      <w:bookmarkEnd w:id="1"/>
    </w:p>
    <w:p w:rsidR="001D76A9" w:rsidRPr="00A451C5" w:rsidRDefault="001D76A9" w:rsidP="001D76A9">
      <w:pPr>
        <w:rPr>
          <w:rFonts w:ascii="Times New Roman" w:hAnsi="Times New Roman" w:cs="Times New Roman"/>
        </w:rPr>
      </w:pPr>
    </w:p>
    <w:p w:rsidR="001D76A9" w:rsidRPr="001D76A9" w:rsidRDefault="001D76A9" w:rsidP="001D76A9">
      <w:pPr>
        <w:pStyle w:val="Zkladntext"/>
        <w:widowControl w:val="0"/>
        <w:spacing w:after="120"/>
        <w:jc w:val="both"/>
        <w:rPr>
          <w:lang w:val="sk-SK"/>
        </w:rPr>
      </w:pPr>
      <w:r w:rsidRPr="001D76A9">
        <w:rPr>
          <w:lang w:val="sk-SK"/>
        </w:rPr>
        <w:t>Ciele ochrany:</w:t>
      </w:r>
    </w:p>
    <w:p w:rsidR="001D76A9" w:rsidRPr="00A451C5" w:rsidRDefault="001D76A9" w:rsidP="001D76A9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  <w:lang w:val="sk-SK"/>
        </w:rPr>
        <w:t>Zlepšenie</w:t>
      </w:r>
      <w:r w:rsidRPr="00A451C5">
        <w:rPr>
          <w:b w:val="0"/>
        </w:rPr>
        <w:t xml:space="preserve"> stavu</w:t>
      </w:r>
      <w:r w:rsidRPr="00A451C5">
        <w:t xml:space="preserve"> </w:t>
      </w:r>
      <w:r w:rsidRPr="00A451C5">
        <w:rPr>
          <w:b w:val="0"/>
        </w:rPr>
        <w:t>biotopu</w:t>
      </w:r>
      <w:r w:rsidRPr="00A451C5">
        <w:rPr>
          <w:b w:val="0"/>
          <w:lang w:val="sk-SK"/>
        </w:rPr>
        <w:t xml:space="preserve"> </w:t>
      </w:r>
      <w:r w:rsidRPr="00A451C5">
        <w:rPr>
          <w:lang w:val="sk-SK"/>
        </w:rPr>
        <w:t>Lk1</w:t>
      </w:r>
      <w:r w:rsidRPr="00A451C5">
        <w:t xml:space="preserve"> </w:t>
      </w:r>
      <w:r w:rsidRPr="00A451C5">
        <w:rPr>
          <w:lang w:val="sk-SK"/>
        </w:rPr>
        <w:t>(</w:t>
      </w:r>
      <w:r w:rsidRPr="00A451C5">
        <w:t>6510</w:t>
      </w:r>
      <w:r w:rsidRPr="00A451C5">
        <w:rPr>
          <w:lang w:val="sk-SK"/>
        </w:rPr>
        <w:t>)</w:t>
      </w:r>
      <w:r w:rsidRPr="00A451C5">
        <w:t xml:space="preserve"> Nížinné a podhorské kosné lúky </w:t>
      </w:r>
      <w:r w:rsidRPr="00A451C5">
        <w:rPr>
          <w:b w:val="0"/>
        </w:rPr>
        <w:t>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40"/>
        <w:gridCol w:w="1263"/>
        <w:gridCol w:w="4749"/>
      </w:tblGrid>
      <w:tr w:rsidR="001D76A9" w:rsidRPr="00A451C5" w:rsidTr="0039623C">
        <w:trPr>
          <w:trHeight w:val="29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6A9" w:rsidRPr="00A451C5" w:rsidRDefault="001D76A9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Parameter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6A9" w:rsidRPr="00A451C5" w:rsidRDefault="001D76A9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Merateľnosť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6A9" w:rsidRPr="00A451C5" w:rsidRDefault="001D76A9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Cieľová hodnota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6A9" w:rsidRPr="00A451C5" w:rsidRDefault="001D76A9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Doplnkové informácie</w:t>
            </w:r>
          </w:p>
        </w:tc>
      </w:tr>
      <w:tr w:rsidR="001D76A9" w:rsidRPr="00A451C5" w:rsidTr="0039623C">
        <w:trPr>
          <w:trHeight w:val="29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76A9" w:rsidRPr="00FC4556" w:rsidRDefault="001D76A9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Výmera biotopu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76A9" w:rsidRPr="00FC4556" w:rsidRDefault="001D76A9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76A9" w:rsidRPr="00FC4556" w:rsidRDefault="001D76A9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7,7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76A9" w:rsidRPr="00FC4556" w:rsidRDefault="001D76A9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Udržať výmeru biotopu</w:t>
            </w:r>
          </w:p>
        </w:tc>
      </w:tr>
      <w:tr w:rsidR="001D76A9" w:rsidRPr="00A451C5" w:rsidTr="0039623C">
        <w:trPr>
          <w:trHeight w:val="609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76A9" w:rsidRPr="00FC4556" w:rsidRDefault="001D76A9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Zastúpenie charakteristických druhov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76A9" w:rsidRPr="00FC4556" w:rsidRDefault="001D76A9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počet druhov/16 m</w:t>
            </w: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76A9" w:rsidRPr="00FC4556" w:rsidRDefault="001D76A9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najmenej 15 druhov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76A9" w:rsidRPr="00FC4556" w:rsidRDefault="001D76A9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Charakteristické/typické druhové zloženie: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Acetosa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Acetosella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Agrimonia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eupatoria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Agrostis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capillaris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Achillea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millefolium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Alchemilla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sp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Antoxanthum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odoratum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Arrhenatherum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elatius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Briza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media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Campanula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patula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hirta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pallescens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Carlina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acaulis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carvi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Cerastium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holosteoides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Colchicum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autumnale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Colymbada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scabiosa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Crepis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biennis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Cruciata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Cynosurus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cristatus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Dactylis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glomerata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Daucus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carota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Deschampsia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cespitosa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Equisetum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arvense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Festuca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Festuca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rubra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Festuca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rupicola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Galium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mollugo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Galium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verum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Hypericum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maculatum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Hypericum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perforatum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Jacea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phrygia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Jacea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Knautia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arvensis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Lathyrus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Leontodon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hispidus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Leontodon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autumnalis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Leucanthemum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Linum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catharticum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Lotus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corniculatus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Luzula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campestris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Lychnis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flos-cuculi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Medicago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lupulina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Myosotis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arvensis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Origanum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Pastinaca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sativa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Phleum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Pilosella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officinarum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Pimpinella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saxifraga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Plantago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lanceolata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Plantago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media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Polygala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Potentilla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argentea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Potentilla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erecta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Potentilla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reptans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Prunella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Ranunculus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acris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Ranunculus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polyanthemos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Ranunculus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repens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Rhinanthus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minor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Salvia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Sanguisorba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minor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Securigera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varia, Silene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Stellaria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graminea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Taraxacum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officinale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Thymus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pulegioides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Tithymalus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cyparissias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Tragopogon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orientalis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montanum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repens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Trisetum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flavescens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Veronica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chamaedrys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Vicia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cracca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Vicia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sepium</w:t>
            </w:r>
            <w:proofErr w:type="spellEnd"/>
          </w:p>
        </w:tc>
      </w:tr>
      <w:tr w:rsidR="001D76A9" w:rsidRPr="00A451C5" w:rsidTr="0039623C">
        <w:trPr>
          <w:trHeight w:val="29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76A9" w:rsidRPr="00FC4556" w:rsidRDefault="001D76A9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Vertikálna štruktúra biotopu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76A9" w:rsidRPr="00FC4556" w:rsidRDefault="001D76A9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76A9" w:rsidRPr="00FC4556" w:rsidRDefault="001D76A9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menej ako 30 %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76A9" w:rsidRPr="00FC4556" w:rsidRDefault="001D76A9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Udržané nízke zastúpenie drevín a krovín</w:t>
            </w:r>
          </w:p>
        </w:tc>
      </w:tr>
      <w:tr w:rsidR="001D76A9" w:rsidRPr="00A451C5" w:rsidTr="0039623C">
        <w:trPr>
          <w:trHeight w:val="85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76A9" w:rsidRPr="00FC4556" w:rsidRDefault="001D76A9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Zastúpenie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/inváznych/invázne sa správajúcich druhov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76A9" w:rsidRPr="00FC4556" w:rsidRDefault="001D76A9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percento pokrytia/25 m</w:t>
            </w: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76A9" w:rsidRPr="00FC4556" w:rsidRDefault="001D76A9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menej ako 15% nepôvodných, a menej ako 1 % inváznych druhov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76A9" w:rsidRPr="00FC4556" w:rsidRDefault="001D76A9" w:rsidP="0039623C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Minimálne zastúpenie inváznych druhov (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Solidago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canadensi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– do 1 %, a zastúpenie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sukcesných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expanzívnych a invázne sa správajúcich druhov (napr.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Bunias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orientalis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Calamagrostis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epigejos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Rubus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sp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Stenactis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annua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) – do 15 %.</w:t>
            </w:r>
          </w:p>
        </w:tc>
      </w:tr>
    </w:tbl>
    <w:p w:rsidR="001D76A9" w:rsidRPr="00A451C5" w:rsidRDefault="001D76A9" w:rsidP="001D76A9">
      <w:pPr>
        <w:rPr>
          <w:rFonts w:ascii="Times New Roman" w:hAnsi="Times New Roman" w:cs="Times New Roman"/>
          <w:szCs w:val="24"/>
        </w:rPr>
      </w:pPr>
    </w:p>
    <w:p w:rsidR="001D76A9" w:rsidRPr="001D76A9" w:rsidRDefault="001D76A9" w:rsidP="001D76A9">
      <w:pPr>
        <w:rPr>
          <w:rFonts w:ascii="Times New Roman" w:hAnsi="Times New Roman" w:cs="Times New Roman"/>
          <w:sz w:val="24"/>
          <w:szCs w:val="24"/>
        </w:rPr>
      </w:pPr>
      <w:r w:rsidRPr="001D76A9">
        <w:rPr>
          <w:rFonts w:ascii="Times New Roman" w:hAnsi="Times New Roman" w:cs="Times New Roman"/>
          <w:sz w:val="24"/>
          <w:szCs w:val="24"/>
        </w:rPr>
        <w:t xml:space="preserve">Zlepšenie stavu biotopu </w:t>
      </w:r>
      <w:r w:rsidRPr="001D76A9">
        <w:rPr>
          <w:rFonts w:ascii="Times New Roman" w:hAnsi="Times New Roman" w:cs="Times New Roman"/>
          <w:b/>
          <w:sz w:val="24"/>
          <w:szCs w:val="24"/>
        </w:rPr>
        <w:t>L</w:t>
      </w:r>
      <w:bookmarkStart w:id="2" w:name="_GoBack"/>
      <w:bookmarkEnd w:id="2"/>
      <w:r w:rsidRPr="001D76A9">
        <w:rPr>
          <w:rFonts w:ascii="Times New Roman" w:hAnsi="Times New Roman" w:cs="Times New Roman"/>
          <w:b/>
          <w:sz w:val="24"/>
          <w:szCs w:val="24"/>
        </w:rPr>
        <w:t xml:space="preserve">k5 (6430) </w:t>
      </w:r>
      <w:proofErr w:type="spellStart"/>
      <w:r w:rsidRPr="001D76A9">
        <w:rPr>
          <w:rFonts w:ascii="Times New Roman" w:hAnsi="Times New Roman" w:cs="Times New Roman"/>
          <w:b/>
          <w:sz w:val="24"/>
          <w:szCs w:val="24"/>
        </w:rPr>
        <w:t>Vysokobylinné</w:t>
      </w:r>
      <w:proofErr w:type="spellEnd"/>
      <w:r w:rsidRPr="001D76A9">
        <w:rPr>
          <w:rFonts w:ascii="Times New Roman" w:hAnsi="Times New Roman" w:cs="Times New Roman"/>
          <w:b/>
          <w:sz w:val="24"/>
          <w:szCs w:val="24"/>
        </w:rPr>
        <w:t xml:space="preserve"> spoločenstvá na vlhkých lúkach</w:t>
      </w:r>
      <w:r w:rsidRPr="001D76A9">
        <w:rPr>
          <w:rFonts w:ascii="Times New Roman" w:hAnsi="Times New Roman" w:cs="Times New Roman"/>
          <w:sz w:val="24"/>
          <w:szCs w:val="24"/>
        </w:rPr>
        <w:t xml:space="preserve"> 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272"/>
        <w:gridCol w:w="1731"/>
        <w:gridCol w:w="4448"/>
      </w:tblGrid>
      <w:tr w:rsidR="001D76A9" w:rsidRPr="00A451C5" w:rsidTr="0039623C">
        <w:trPr>
          <w:trHeight w:val="29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6A9" w:rsidRPr="00A451C5" w:rsidRDefault="001D76A9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Parameter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6A9" w:rsidRPr="00A451C5" w:rsidRDefault="001D76A9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Merateľnosť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6A9" w:rsidRPr="00A451C5" w:rsidRDefault="001D76A9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Cieľová hodnota</w:t>
            </w:r>
          </w:p>
        </w:tc>
        <w:tc>
          <w:tcPr>
            <w:tcW w:w="4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6A9" w:rsidRPr="00A451C5" w:rsidRDefault="001D76A9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Doplnkové informácie</w:t>
            </w:r>
          </w:p>
        </w:tc>
      </w:tr>
      <w:tr w:rsidR="001D76A9" w:rsidRPr="00A451C5" w:rsidTr="0039623C">
        <w:trPr>
          <w:trHeight w:val="29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76A9" w:rsidRPr="00A451C5" w:rsidRDefault="001D76A9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Výmera biotopu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76A9" w:rsidRPr="00A451C5" w:rsidRDefault="001D76A9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ha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76A9" w:rsidRPr="00A451C5" w:rsidRDefault="001D76A9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0,03 ha</w:t>
            </w:r>
          </w:p>
        </w:tc>
        <w:tc>
          <w:tcPr>
            <w:tcW w:w="4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76A9" w:rsidRPr="00A451C5" w:rsidRDefault="001D76A9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 xml:space="preserve">Udržať existujúcu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</w:rPr>
              <w:t>vymeru</w:t>
            </w:r>
            <w:proofErr w:type="spellEnd"/>
            <w:r w:rsidRPr="00A451C5">
              <w:rPr>
                <w:rFonts w:ascii="Times New Roman" w:eastAsia="Times New Roman" w:hAnsi="Times New Roman" w:cs="Times New Roman"/>
              </w:rPr>
              <w:t xml:space="preserve"> biotopu</w:t>
            </w:r>
          </w:p>
        </w:tc>
      </w:tr>
      <w:tr w:rsidR="001D76A9" w:rsidRPr="00A451C5" w:rsidTr="0039623C">
        <w:trPr>
          <w:trHeight w:val="1692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76A9" w:rsidRPr="00A451C5" w:rsidRDefault="001D76A9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lastRenderedPageBreak/>
              <w:t>Zastúpenie charakteristických druhov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76A9" w:rsidRPr="00A451C5" w:rsidRDefault="001D76A9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počet druhov/16 m</w:t>
            </w:r>
            <w:r w:rsidRPr="00A451C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76A9" w:rsidRPr="00A451C5" w:rsidRDefault="001D76A9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najmenej 6 druhov</w:t>
            </w:r>
          </w:p>
        </w:tc>
        <w:tc>
          <w:tcPr>
            <w:tcW w:w="4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76A9" w:rsidRPr="00A451C5" w:rsidRDefault="001D76A9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Charakteristické/typické druhové zloženie:</w:t>
            </w:r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Alopecurus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pratensis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Aegopodiu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podagraria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>,</w:t>
            </w:r>
            <w:r w:rsidRPr="00A451C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Angelica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sylvestris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Caltha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palustris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Carduus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personata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Cirsium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oleracium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Crepis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paludosa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Chaerophyllum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hirsutum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Filipendula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ulmaria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Geranium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palustre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Lysimachia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vulgaris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Lythrum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salicaria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Mentha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longifolia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1D76A9" w:rsidRPr="00A451C5" w:rsidTr="0039623C">
        <w:trPr>
          <w:trHeight w:val="29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76A9" w:rsidRPr="00FC4556" w:rsidRDefault="001D76A9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Vertikálna štruktúra biotopu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76A9" w:rsidRPr="00FC4556" w:rsidRDefault="001D76A9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76A9" w:rsidRPr="00FC4556" w:rsidRDefault="001D76A9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menej ako 20 %</w:t>
            </w:r>
          </w:p>
        </w:tc>
        <w:tc>
          <w:tcPr>
            <w:tcW w:w="4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76A9" w:rsidRPr="00FC4556" w:rsidRDefault="001D76A9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Udržané nízke zastúpenie drevín a krovín</w:t>
            </w:r>
          </w:p>
        </w:tc>
      </w:tr>
      <w:tr w:rsidR="001D76A9" w:rsidRPr="00A451C5" w:rsidTr="0039623C">
        <w:trPr>
          <w:trHeight w:val="85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76A9" w:rsidRPr="00FC4556" w:rsidRDefault="001D76A9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Zastúpenie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/inváznych/invázne sa správajúcich druhov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76A9" w:rsidRPr="00FC4556" w:rsidRDefault="001D76A9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percento pokrytia/25 m</w:t>
            </w: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76A9" w:rsidRPr="00FC4556" w:rsidRDefault="001D76A9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menej ako 5% nepôvodných a 0 % inváznych druhov</w:t>
            </w:r>
          </w:p>
        </w:tc>
        <w:tc>
          <w:tcPr>
            <w:tcW w:w="4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76A9" w:rsidRPr="00FC4556" w:rsidRDefault="001D76A9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Minimálne zastúpenie nepôvodných,  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sukcesných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expanzívnych a  invázne sa správajúcich druhov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druhov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druhov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(napr.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Impatiens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parviflora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Rubus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sp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.) a žiadne zastúpenie inváznych druhov.</w:t>
            </w:r>
          </w:p>
        </w:tc>
      </w:tr>
    </w:tbl>
    <w:p w:rsidR="001D76A9" w:rsidRPr="00A451C5" w:rsidRDefault="001D76A9" w:rsidP="001D76A9">
      <w:pPr>
        <w:rPr>
          <w:rFonts w:ascii="Times New Roman" w:hAnsi="Times New Roman" w:cs="Times New Roman"/>
          <w:szCs w:val="24"/>
        </w:rPr>
      </w:pPr>
    </w:p>
    <w:p w:rsidR="001D76A9" w:rsidRPr="00A451C5" w:rsidRDefault="001D76A9" w:rsidP="001D76A9">
      <w:pPr>
        <w:rPr>
          <w:rFonts w:ascii="Times New Roman" w:hAnsi="Times New Roman" w:cs="Times New Roman"/>
          <w:szCs w:val="24"/>
        </w:rPr>
      </w:pPr>
    </w:p>
    <w:p w:rsidR="001D76A9" w:rsidRPr="00A451C5" w:rsidRDefault="001D76A9" w:rsidP="001D76A9">
      <w:pPr>
        <w:rPr>
          <w:rFonts w:ascii="Times New Roman" w:hAnsi="Times New Roman" w:cs="Times New Roman"/>
          <w:szCs w:val="24"/>
        </w:rPr>
      </w:pPr>
    </w:p>
    <w:p w:rsidR="00E866E7" w:rsidRDefault="00E866E7" w:rsidP="001D76A9">
      <w:pPr>
        <w:spacing w:after="0"/>
        <w:jc w:val="left"/>
      </w:pPr>
    </w:p>
    <w:sectPr w:rsidR="00E86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A9"/>
    <w:rsid w:val="001D76A9"/>
    <w:rsid w:val="00E8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EB0B3"/>
  <w15:chartTrackingRefBased/>
  <w15:docId w15:val="{745F6536-C739-4A74-91A9-C4C33CEE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6A9"/>
    <w:pPr>
      <w:spacing w:after="120" w:line="240" w:lineRule="auto"/>
      <w:jc w:val="both"/>
    </w:pPr>
    <w:rPr>
      <w:sz w:val="20"/>
      <w:szCs w:val="20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1D76A9"/>
    <w:pPr>
      <w:spacing w:before="100" w:beforeAutospacing="1" w:after="0"/>
      <w:jc w:val="center"/>
      <w:outlineLvl w:val="0"/>
    </w:pPr>
    <w:rPr>
      <w:rFonts w:ascii="Times New Roman" w:eastAsia="Times New Roman" w:hAnsi="Times New Roman"/>
      <w:b/>
      <w:bCs/>
      <w:i/>
      <w:kern w:val="2"/>
      <w:sz w:val="24"/>
      <w:szCs w:val="48"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qFormat/>
    <w:rsid w:val="001D76A9"/>
    <w:rPr>
      <w:rFonts w:ascii="Times New Roman" w:eastAsia="Times New Roman" w:hAnsi="Times New Roman"/>
      <w:b/>
      <w:bCs/>
      <w:i/>
      <w:kern w:val="2"/>
      <w:sz w:val="24"/>
      <w:szCs w:val="48"/>
      <w:u w:val="single"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1D76A9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">
    <w:name w:val="Body Text"/>
    <w:basedOn w:val="Normlny"/>
    <w:link w:val="ZkladntextChar"/>
    <w:uiPriority w:val="99"/>
    <w:rsid w:val="001D76A9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1">
    <w:name w:val="Základný text Char1"/>
    <w:basedOn w:val="Predvolenpsmoodseku"/>
    <w:uiPriority w:val="99"/>
    <w:semiHidden/>
    <w:rsid w:val="001D76A9"/>
    <w:rPr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1</cp:revision>
  <dcterms:created xsi:type="dcterms:W3CDTF">2024-06-24T12:22:00Z</dcterms:created>
  <dcterms:modified xsi:type="dcterms:W3CDTF">2024-06-24T12:23:00Z</dcterms:modified>
</cp:coreProperties>
</file>