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F7" w:rsidRPr="003B6DBD" w:rsidRDefault="007C2CF7" w:rsidP="007C2CF7">
      <w:pPr>
        <w:pStyle w:val="Nadpis1"/>
        <w:jc w:val="both"/>
      </w:pPr>
      <w:bookmarkStart w:id="0" w:name="_Toc168324712"/>
      <w:bookmarkStart w:id="1" w:name="_Toc168327964"/>
      <w:r w:rsidRPr="003B6DBD">
        <w:t>SKUEV4070 Lúky na Holej hore</w:t>
      </w:r>
      <w:bookmarkEnd w:id="0"/>
      <w:bookmarkEnd w:id="1"/>
    </w:p>
    <w:p w:rsidR="007C2CF7" w:rsidRDefault="007C2CF7" w:rsidP="007C2CF7">
      <w:pPr>
        <w:pStyle w:val="Zkladntext"/>
        <w:widowControl w:val="0"/>
        <w:spacing w:after="120"/>
        <w:jc w:val="both"/>
        <w:rPr>
          <w:b w:val="0"/>
        </w:rPr>
      </w:pPr>
    </w:p>
    <w:p w:rsidR="007C2CF7" w:rsidRPr="007C2CF7" w:rsidRDefault="007C2CF7" w:rsidP="007C2CF7">
      <w:pPr>
        <w:pStyle w:val="Zkladntext"/>
        <w:widowControl w:val="0"/>
        <w:spacing w:after="120"/>
        <w:jc w:val="both"/>
        <w:rPr>
          <w:lang w:val="sk-SK"/>
        </w:rPr>
      </w:pPr>
      <w:r w:rsidRPr="007C2CF7">
        <w:rPr>
          <w:lang w:val="sk-SK"/>
        </w:rPr>
        <w:t>Ciele ochrany:</w:t>
      </w:r>
    </w:p>
    <w:p w:rsidR="007C2CF7" w:rsidRPr="00A451C5" w:rsidRDefault="007C2CF7" w:rsidP="007C2CF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bookmarkStart w:id="2" w:name="_GoBack"/>
      <w:bookmarkEnd w:id="2"/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263"/>
        <w:gridCol w:w="4749"/>
      </w:tblGrid>
      <w:tr w:rsidR="007C2CF7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7C2CF7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Výmera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16,5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Udržať výmeru biotopu</w:t>
            </w:r>
          </w:p>
        </w:tc>
      </w:tr>
      <w:tr w:rsidR="007C2CF7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Zastúpenie charakteristických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najmenej 15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Charakteristické/typické druhové zloženie: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Acetosa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Acetosella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Agrimonia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eupatoria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Achillea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millefolium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Antoxanthum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hirta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acaulis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carvi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Cerastium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holosteoides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Colchicum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autumnale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biennis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Cynosurus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cristatus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Dactylis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glomerata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Daucus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carota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Equisetum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mollugo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perforatum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Jacea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phrygia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Jacea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Knautia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Lathyrus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autumnalis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flos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Origanum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Pastinaca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sativa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officinarum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major,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reptans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polyanthemos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Rhinanthus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varia, Silene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Taraxacum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officinale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Tragopogon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orientalis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montanum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Trisetum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flavescens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cracca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sepium</w:t>
            </w:r>
            <w:proofErr w:type="spellEnd"/>
          </w:p>
        </w:tc>
      </w:tr>
      <w:tr w:rsidR="007C2CF7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Vertikálna štruktúra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 drevín a krovín/plocha biotopu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30 %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Udržané nízke zastúpenie drevín a krovín</w:t>
            </w:r>
          </w:p>
        </w:tc>
      </w:tr>
      <w:tr w:rsidR="007C2CF7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 /inváznych/invázne sa správajúcich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15% nepôvodných, a menej ako 1 % inváznych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2CF7" w:rsidRPr="00A451C5" w:rsidRDefault="007C2CF7" w:rsidP="003962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canadensi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) – do 1 %, a 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sukcesných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, expanzívnych a invázne sa správajúcich druhov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Rubus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>) – do 15 %.</w:t>
            </w:r>
          </w:p>
        </w:tc>
      </w:tr>
    </w:tbl>
    <w:p w:rsidR="007C2CF7" w:rsidRPr="00A451C5" w:rsidRDefault="007C2CF7" w:rsidP="007C2CF7">
      <w:pPr>
        <w:jc w:val="center"/>
        <w:rPr>
          <w:rFonts w:ascii="Times New Roman" w:hAnsi="Times New Roman" w:cs="Times New Roman"/>
          <w:b/>
          <w:u w:val="single"/>
        </w:rPr>
      </w:pPr>
    </w:p>
    <w:p w:rsidR="007C2CF7" w:rsidRPr="00A451C5" w:rsidRDefault="007C2CF7" w:rsidP="007C2CF7">
      <w:pPr>
        <w:jc w:val="center"/>
        <w:rPr>
          <w:rFonts w:ascii="Times New Roman" w:hAnsi="Times New Roman" w:cs="Times New Roman"/>
          <w:b/>
          <w:u w:val="single"/>
        </w:rPr>
      </w:pPr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F7"/>
    <w:rsid w:val="007C2CF7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F4C3"/>
  <w15:chartTrackingRefBased/>
  <w15:docId w15:val="{858FA498-85AD-466B-844F-D6989E5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2CF7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C2CF7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7C2CF7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C2CF7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C2CF7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7C2CF7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2024-06-24T12:20:00Z</dcterms:created>
  <dcterms:modified xsi:type="dcterms:W3CDTF">2024-06-24T12:20:00Z</dcterms:modified>
</cp:coreProperties>
</file>