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7E96B1A9" w:rsidR="000E05DA" w:rsidRDefault="000F59CC" w:rsidP="00C06658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SKUEV2</w:t>
      </w:r>
      <w:r w:rsidR="000E05DA">
        <w:rPr>
          <w:b/>
          <w:sz w:val="28"/>
          <w:szCs w:val="28"/>
          <w:lang w:eastAsia="cs-CZ"/>
        </w:rPr>
        <w:t>3</w:t>
      </w:r>
      <w:r w:rsidR="00786290">
        <w:rPr>
          <w:b/>
          <w:sz w:val="28"/>
          <w:szCs w:val="28"/>
          <w:lang w:eastAsia="cs-CZ"/>
        </w:rPr>
        <w:t>7</w:t>
      </w:r>
      <w:r w:rsidR="000A55DA">
        <w:rPr>
          <w:b/>
          <w:sz w:val="28"/>
          <w:szCs w:val="28"/>
          <w:lang w:eastAsia="cs-CZ"/>
        </w:rPr>
        <w:t>6</w:t>
      </w:r>
      <w:r w:rsidR="000E05DA">
        <w:rPr>
          <w:b/>
          <w:sz w:val="28"/>
          <w:szCs w:val="28"/>
          <w:lang w:eastAsia="cs-CZ"/>
        </w:rPr>
        <w:t xml:space="preserve"> </w:t>
      </w:r>
      <w:r w:rsidR="000A55DA">
        <w:rPr>
          <w:b/>
          <w:sz w:val="28"/>
          <w:szCs w:val="28"/>
          <w:lang w:eastAsia="cs-CZ"/>
        </w:rPr>
        <w:t xml:space="preserve">Vršatské </w:t>
      </w:r>
      <w:r w:rsidR="00786290">
        <w:rPr>
          <w:b/>
          <w:sz w:val="28"/>
          <w:szCs w:val="28"/>
          <w:lang w:eastAsia="cs-CZ"/>
        </w:rPr>
        <w:t>bradlá</w:t>
      </w:r>
    </w:p>
    <w:p w14:paraId="6DE8C982" w14:textId="762AA4DD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00201E66" w14:textId="02733C85" w:rsidR="000F59CC" w:rsidRPr="00775056" w:rsidRDefault="000F59CC" w:rsidP="000F59CC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Zlepšenie </w:t>
      </w:r>
      <w:r w:rsidRPr="00775056">
        <w:rPr>
          <w:color w:val="000000"/>
          <w:szCs w:val="24"/>
        </w:rPr>
        <w:t xml:space="preserve">stavu </w:t>
      </w:r>
      <w:r w:rsidRPr="00775056">
        <w:rPr>
          <w:b/>
          <w:color w:val="000000"/>
          <w:szCs w:val="24"/>
        </w:rPr>
        <w:t>biotopu 6510 (Lk1) Nížinné a podhorské kosné lúky</w:t>
      </w:r>
      <w:r w:rsidRPr="00775056">
        <w:rPr>
          <w:color w:val="000000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0F59CC" w:rsidRPr="0000010E" w14:paraId="6AB49EBA" w14:textId="77777777" w:rsidTr="00E0168C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0586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B2C8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78FA" w14:textId="77777777" w:rsidR="000F59CC" w:rsidRPr="00775056" w:rsidRDefault="000F59CC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CBE2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0F59CC" w:rsidRPr="0000010E" w14:paraId="6FF3842C" w14:textId="77777777" w:rsidTr="00E0168C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28B4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40C9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05C1" w14:textId="7D4E59FE" w:rsidR="000F59CC" w:rsidRPr="00775056" w:rsidRDefault="000F59CC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B9CC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Udržať výmeru biotopu </w:t>
            </w:r>
          </w:p>
        </w:tc>
      </w:tr>
      <w:tr w:rsidR="000F59CC" w:rsidRPr="0000010E" w14:paraId="5FBF1857" w14:textId="77777777" w:rsidTr="00E0168C">
        <w:trPr>
          <w:trHeight w:val="6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8D9C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7CCE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počet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druhov/16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AA4C" w14:textId="77777777" w:rsidR="000F59CC" w:rsidRPr="00775056" w:rsidRDefault="000F59CC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200B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Colchicum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viridis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chamaedr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ys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</w:p>
        </w:tc>
      </w:tr>
      <w:tr w:rsidR="000F59CC" w:rsidRPr="0000010E" w14:paraId="0E2F737B" w14:textId="77777777" w:rsidTr="00E0168C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B359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2CD4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B682" w14:textId="77777777" w:rsidR="000F59CC" w:rsidRPr="00775056" w:rsidRDefault="000F59CC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4583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Udržané nízke zastúpenie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</w:p>
        </w:tc>
      </w:tr>
      <w:tr w:rsidR="000F59CC" w:rsidRPr="0000010E" w14:paraId="608EA544" w14:textId="77777777" w:rsidTr="00E0168C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0033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83CD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467" w14:textId="77777777" w:rsidR="000F59CC" w:rsidRPr="00775056" w:rsidRDefault="000F59CC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B7D2" w14:textId="77777777" w:rsidR="000F59CC" w:rsidRPr="00775056" w:rsidRDefault="000F59CC" w:rsidP="00E0168C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D33C1D">
              <w:rPr>
                <w:rFonts w:eastAsia="Times New Roman"/>
                <w:color w:val="000000"/>
                <w:sz w:val="20"/>
                <w:szCs w:val="20"/>
              </w:rPr>
              <w:t>Minimálne zastúpenie 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Calamagrostis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epigejos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Solidago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canadensis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Solidago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gigantea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Stenactis</w:t>
            </w:r>
            <w:proofErr w:type="spellEnd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eastAsia="Times New Roman"/>
                <w:i/>
                <w:color w:val="000000"/>
                <w:sz w:val="20"/>
                <w:szCs w:val="20"/>
              </w:rPr>
              <w:t>annua</w:t>
            </w:r>
            <w:proofErr w:type="spellEnd"/>
          </w:p>
        </w:tc>
      </w:tr>
    </w:tbl>
    <w:p w14:paraId="65EC8D02" w14:textId="77777777" w:rsidR="000F59CC" w:rsidRDefault="000F59CC" w:rsidP="000F59CC">
      <w:pPr>
        <w:pStyle w:val="Zkladntext"/>
        <w:widowControl w:val="0"/>
        <w:jc w:val="both"/>
        <w:rPr>
          <w:lang w:val="sk-SK"/>
        </w:rPr>
      </w:pPr>
    </w:p>
    <w:p w14:paraId="288A9117" w14:textId="51167753" w:rsidR="00F125A0" w:rsidRPr="00626A09" w:rsidRDefault="009D5CAE" w:rsidP="000F59CC">
      <w:pPr>
        <w:pStyle w:val="Zkladntext"/>
        <w:widowControl w:val="0"/>
        <w:jc w:val="both"/>
      </w:pPr>
      <w:r>
        <w:rPr>
          <w:lang w:val="sk-SK"/>
        </w:rPr>
        <w:t xml:space="preserve">Zachovanie </w:t>
      </w:r>
      <w:r w:rsidR="00F125A0">
        <w:rPr>
          <w:lang w:val="sk-SK"/>
        </w:rPr>
        <w:t>stavu</w:t>
      </w:r>
      <w:r w:rsidR="00F125A0" w:rsidRPr="00626A09">
        <w:t xml:space="preserve"> biotop</w:t>
      </w:r>
      <w:r w:rsidR="00F125A0">
        <w:rPr>
          <w:lang w:val="sk-SK"/>
        </w:rPr>
        <w:t>u</w:t>
      </w:r>
      <w:r w:rsidR="00F125A0" w:rsidRPr="00626A09">
        <w:t xml:space="preserve"> </w:t>
      </w:r>
      <w:r w:rsidR="00F125A0" w:rsidRPr="000E05DA">
        <w:rPr>
          <w:b/>
        </w:rPr>
        <w:t xml:space="preserve">Tr1 </w:t>
      </w:r>
      <w:r w:rsidR="00F125A0" w:rsidRPr="000E05DA">
        <w:rPr>
          <w:b/>
          <w:bCs/>
          <w:shd w:val="clear" w:color="auto" w:fill="FFFFFF"/>
        </w:rPr>
        <w:t>(</w:t>
      </w:r>
      <w:r w:rsidR="00F125A0" w:rsidRPr="000E05DA">
        <w:rPr>
          <w:b/>
        </w:rPr>
        <w:t>6210*</w:t>
      </w:r>
      <w:r w:rsidR="00F125A0" w:rsidRPr="000E05DA">
        <w:rPr>
          <w:b/>
          <w:bCs/>
          <w:shd w:val="clear" w:color="auto" w:fill="FFFFFF"/>
        </w:rPr>
        <w:t xml:space="preserve">) </w:t>
      </w:r>
      <w:r w:rsidR="00F125A0" w:rsidRPr="000E05DA">
        <w:rPr>
          <w:b/>
        </w:rPr>
        <w:t xml:space="preserve">Suchomilné </w:t>
      </w:r>
      <w:proofErr w:type="spellStart"/>
      <w:r w:rsidR="00F125A0" w:rsidRPr="000E05DA">
        <w:rPr>
          <w:b/>
        </w:rPr>
        <w:t>travinno</w:t>
      </w:r>
      <w:proofErr w:type="spellEnd"/>
      <w:r w:rsidR="00F125A0" w:rsidRPr="000E05DA">
        <w:rPr>
          <w:b/>
        </w:rPr>
        <w:t xml:space="preserve">-bylinné a krovinové porasty na vápnitom podloží s výskytom </w:t>
      </w:r>
      <w:proofErr w:type="spellStart"/>
      <w:r w:rsidR="00F125A0" w:rsidRPr="000E05DA">
        <w:rPr>
          <w:b/>
        </w:rPr>
        <w:t>vstavačovitých</w:t>
      </w:r>
      <w:proofErr w:type="spellEnd"/>
      <w:r w:rsidR="00F125A0" w:rsidRPr="00626A09">
        <w:rPr>
          <w:bCs/>
          <w:shd w:val="clear" w:color="auto" w:fill="FFFFFF"/>
        </w:rPr>
        <w:t xml:space="preserve">, </w:t>
      </w:r>
      <w:r w:rsidR="00F125A0">
        <w:t>z</w:t>
      </w:r>
      <w:r w:rsidR="00F125A0" w:rsidRPr="00626A09">
        <w:t>a splnenia nasledovných atribútov</w:t>
      </w:r>
      <w:r w:rsidR="00F125A0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F125A0" w:rsidRPr="003509FA" w14:paraId="44E50DE5" w14:textId="77777777" w:rsidTr="000B4AAB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DEAB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329E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1D7" w14:textId="77777777" w:rsidR="00F125A0" w:rsidRPr="003509FA" w:rsidRDefault="00F125A0" w:rsidP="000B4AA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41CD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125A0" w:rsidRPr="003509FA" w14:paraId="3D613814" w14:textId="77777777" w:rsidTr="000B4AAB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F26B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BFBF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EA29" w14:textId="3D5570CF" w:rsidR="00F125A0" w:rsidRPr="003509FA" w:rsidRDefault="000F59CC" w:rsidP="000B4AA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  <w:r w:rsidR="009D5CA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6B1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F125A0" w:rsidRPr="003509FA" w14:paraId="272DC7DD" w14:textId="77777777" w:rsidTr="000B4AAB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1E72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EAB0" w14:textId="08A0E11A" w:rsidR="00F125A0" w:rsidRPr="003509FA" w:rsidRDefault="00C06658" w:rsidP="00C0665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F125A0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0B4C" w14:textId="77777777" w:rsidR="00F125A0" w:rsidRPr="003509FA" w:rsidRDefault="00F125A0" w:rsidP="000B4AA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46A3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F125A0" w:rsidRPr="003509FA" w14:paraId="5AAC2338" w14:textId="77777777" w:rsidTr="000B4AAB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2B73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9D2A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2B8D" w14:textId="77777777" w:rsidR="00F125A0" w:rsidRPr="003509FA" w:rsidRDefault="00F125A0" w:rsidP="000B4AA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B26" w14:textId="77777777" w:rsidR="00F125A0" w:rsidRPr="003509FA" w:rsidRDefault="00F125A0" w:rsidP="000B4AA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C06658" w:rsidRPr="003509FA" w14:paraId="11426C50" w14:textId="77777777" w:rsidTr="000B4AAB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346" w14:textId="77777777" w:rsidR="00C06658" w:rsidRPr="003509FA" w:rsidRDefault="00C06658" w:rsidP="00C0665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456E" w14:textId="77777777" w:rsidR="00C06658" w:rsidRPr="003509FA" w:rsidRDefault="00C06658" w:rsidP="00C0665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8539" w14:textId="77777777" w:rsidR="00C06658" w:rsidRPr="003509FA" w:rsidRDefault="00C06658" w:rsidP="00C0665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A3B6" w14:textId="12E421EE" w:rsidR="00C06658" w:rsidRPr="003509FA" w:rsidRDefault="00C06658" w:rsidP="00C0665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313E8F29" w14:textId="6643AE3F" w:rsidR="00EC67A6" w:rsidRDefault="00EC67A6" w:rsidP="00EC67A6">
      <w:pPr>
        <w:spacing w:line="240" w:lineRule="auto"/>
        <w:rPr>
          <w:color w:val="000000"/>
          <w:szCs w:val="24"/>
        </w:rPr>
      </w:pPr>
    </w:p>
    <w:p w14:paraId="343E6CED" w14:textId="77777777" w:rsidR="0019140E" w:rsidRDefault="0019140E" w:rsidP="0019140E">
      <w:pPr>
        <w:spacing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 w:rsidRPr="0028246D">
        <w:rPr>
          <w:b/>
          <w:color w:val="000000"/>
          <w:szCs w:val="24"/>
        </w:rPr>
        <w:t xml:space="preserve">Tr5 (6190) </w:t>
      </w:r>
      <w:proofErr w:type="spellStart"/>
      <w:r w:rsidRPr="0028246D">
        <w:rPr>
          <w:b/>
          <w:color w:val="000000"/>
          <w:szCs w:val="24"/>
        </w:rPr>
        <w:t>Dealpínske</w:t>
      </w:r>
      <w:proofErr w:type="spellEnd"/>
      <w:r w:rsidRPr="0028246D">
        <w:rPr>
          <w:b/>
          <w:color w:val="000000"/>
          <w:szCs w:val="24"/>
        </w:rPr>
        <w:t xml:space="preserve"> </w:t>
      </w:r>
      <w:proofErr w:type="spellStart"/>
      <w:r w:rsidRPr="0028246D">
        <w:rPr>
          <w:b/>
          <w:color w:val="000000"/>
          <w:szCs w:val="24"/>
        </w:rPr>
        <w:t>travinnobylinné</w:t>
      </w:r>
      <w:proofErr w:type="spellEnd"/>
      <w:r w:rsidRPr="0028246D">
        <w:rPr>
          <w:b/>
          <w:color w:val="000000"/>
          <w:szCs w:val="24"/>
        </w:rPr>
        <w:t xml:space="preserve"> porasty</w:t>
      </w:r>
      <w:r>
        <w:rPr>
          <w:color w:val="000000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251"/>
        <w:gridCol w:w="1418"/>
        <w:gridCol w:w="4199"/>
      </w:tblGrid>
      <w:tr w:rsidR="0019140E" w:rsidRPr="0028246D" w14:paraId="49D7C396" w14:textId="77777777" w:rsidTr="798432AA">
        <w:trPr>
          <w:trHeight w:val="29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D1F6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A841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FF1" w14:textId="77777777" w:rsidR="0019140E" w:rsidRPr="0028246D" w:rsidRDefault="0019140E" w:rsidP="000B4AAB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F194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8246D">
              <w:rPr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19140E" w:rsidRPr="0028246D" w14:paraId="23B39D3B" w14:textId="77777777" w:rsidTr="798432AA">
        <w:trPr>
          <w:trHeight w:val="29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1F0A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C2C2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7DB1" w14:textId="31F19DA0" w:rsidR="0019140E" w:rsidRPr="0028246D" w:rsidRDefault="000F59CC" w:rsidP="000B4AA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DAD2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Udržať výmeru biotopu </w:t>
            </w:r>
          </w:p>
        </w:tc>
      </w:tr>
      <w:tr w:rsidR="0019140E" w:rsidRPr="0028246D" w14:paraId="2CD7F116" w14:textId="77777777" w:rsidTr="798432AA">
        <w:trPr>
          <w:trHeight w:val="416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AC56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3927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počet druhov/16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246D">
              <w:rPr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8C2D" w14:textId="77777777" w:rsidR="0019140E" w:rsidRPr="0028246D" w:rsidRDefault="0019140E" w:rsidP="000B4AA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najmenej 12 druhov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4954" w14:textId="0CFF4584" w:rsidR="0019140E" w:rsidRPr="0028246D" w:rsidRDefault="798432AA" w:rsidP="00C06658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98432AA">
              <w:rPr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Ajuga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genevensis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flavum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senescens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Alyssum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Arabis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hirsuta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serpyllifolia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Bupleurum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falcatum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Erysimum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pallens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Fragaria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viridis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album,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glaucum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Globularia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punctata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grandiflorum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Inula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ensifolia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Jovibarba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globifera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subsp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ciliata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Potentilla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Rhodax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canus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Sanguisorba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minor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paniculata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acre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sexangulare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Seseli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hippomarathrum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Seseli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osseum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Sesleria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albicans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Stachys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recta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Thymus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praecox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98432AA">
              <w:rPr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</w:p>
        </w:tc>
      </w:tr>
      <w:tr w:rsidR="0019140E" w:rsidRPr="0028246D" w14:paraId="398E0896" w14:textId="77777777" w:rsidTr="798432AA">
        <w:trPr>
          <w:trHeight w:val="29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9D19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C8E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42D2" w14:textId="77777777" w:rsidR="0019140E" w:rsidRPr="0028246D" w:rsidRDefault="0019140E" w:rsidP="000B4AA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46F6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Eliminovať zastúpenie drevín a krovín</w:t>
            </w:r>
          </w:p>
        </w:tc>
      </w:tr>
      <w:tr w:rsidR="0019140E" w:rsidRPr="0028246D" w14:paraId="3FB57CD0" w14:textId="77777777" w:rsidTr="798432AA">
        <w:trPr>
          <w:trHeight w:val="85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2555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28246D">
              <w:rPr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28246D">
              <w:rPr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E241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B02E" w14:textId="77777777" w:rsidR="0019140E" w:rsidRPr="0028246D" w:rsidRDefault="0019140E" w:rsidP="000B4AA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menej ako 15% u </w:t>
            </w:r>
            <w:proofErr w:type="spellStart"/>
            <w:r w:rsidRPr="0028246D">
              <w:rPr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28246D">
              <w:rPr>
                <w:color w:val="000000" w:themeColor="text1"/>
                <w:sz w:val="20"/>
                <w:szCs w:val="20"/>
              </w:rPr>
              <w:t>, menej ako 1 % u inváznych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A303" w14:textId="77777777" w:rsidR="0019140E" w:rsidRPr="0028246D" w:rsidRDefault="0019140E" w:rsidP="000B4AAB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8246D">
              <w:rPr>
                <w:color w:val="000000" w:themeColor="text1"/>
                <w:sz w:val="20"/>
                <w:szCs w:val="20"/>
              </w:rPr>
              <w:t>Eliminovať výskyt druhov</w:t>
            </w:r>
          </w:p>
        </w:tc>
      </w:tr>
    </w:tbl>
    <w:p w14:paraId="6F7E5321" w14:textId="77777777" w:rsidR="00C06658" w:rsidRDefault="00C06658" w:rsidP="00B23AE1">
      <w:pPr>
        <w:spacing w:line="240" w:lineRule="auto"/>
        <w:jc w:val="both"/>
        <w:rPr>
          <w:szCs w:val="24"/>
        </w:rPr>
      </w:pPr>
    </w:p>
    <w:p w14:paraId="16994C48" w14:textId="381A9978" w:rsidR="00B23AE1" w:rsidRDefault="00B23AE1" w:rsidP="00B23AE1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01"/>
        <w:gridCol w:w="1556"/>
        <w:gridCol w:w="4189"/>
      </w:tblGrid>
      <w:tr w:rsidR="00B23AE1" w:rsidRPr="00626A09" w14:paraId="7CC61C6F" w14:textId="77777777" w:rsidTr="798432AA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13A4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37DF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2FD1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B8A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B23AE1" w:rsidRPr="00626A09" w14:paraId="49EC0A0F" w14:textId="77777777" w:rsidTr="798432AA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BF8A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CA7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859D" w14:textId="311B24F6" w:rsidR="00B23AE1" w:rsidRPr="00E81D0D" w:rsidRDefault="00C0665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Min. 1</w:t>
            </w:r>
            <w:r w:rsidR="798432AA" w:rsidRPr="798432AA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DBA" w14:textId="32967894" w:rsidR="00B23AE1" w:rsidRPr="00E81D0D" w:rsidRDefault="798432AA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98432AA">
              <w:rPr>
                <w:sz w:val="20"/>
                <w:szCs w:val="20"/>
              </w:rPr>
              <w:t xml:space="preserve">odhaduje sa na  10 – 100 jedincov ( z SDF), </w:t>
            </w:r>
            <w:r w:rsidRPr="798432AA">
              <w:rPr>
                <w:sz w:val="20"/>
                <w:szCs w:val="20"/>
              </w:rPr>
              <w:t>reálny stav treba spresniť monitoringom</w:t>
            </w:r>
            <w:r w:rsidRPr="798432AA">
              <w:rPr>
                <w:sz w:val="20"/>
                <w:szCs w:val="20"/>
              </w:rPr>
              <w:t xml:space="preserve"> </w:t>
            </w:r>
          </w:p>
        </w:tc>
      </w:tr>
      <w:tr w:rsidR="00B23AE1" w:rsidRPr="00626A09" w14:paraId="58CADB7D" w14:textId="77777777" w:rsidTr="798432AA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1D8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7D9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1DC0" w14:textId="22464B13" w:rsidR="00B23AE1" w:rsidRPr="00E81D0D" w:rsidRDefault="798432AA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798432AA">
              <w:rPr>
                <w:sz w:val="20"/>
                <w:szCs w:val="20"/>
              </w:rPr>
              <w:t>najmenej 3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3A92" w14:textId="77777777" w:rsidR="00B23AE1" w:rsidRPr="00E81D0D" w:rsidRDefault="00B23AE1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B23AE1" w:rsidRPr="00626A09" w14:paraId="71325694" w14:textId="77777777" w:rsidTr="798432AA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C57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EF5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EF77" w14:textId="77777777" w:rsidR="00B23AE1" w:rsidRPr="00E81D0D" w:rsidRDefault="00B23AE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67D" w14:textId="77777777" w:rsidR="00B23AE1" w:rsidRPr="00E81D0D" w:rsidRDefault="00B23AE1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C06658" w:rsidRPr="00626A09" w14:paraId="08C3CCC4" w14:textId="77777777" w:rsidTr="798432AA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05EA2" w14:textId="52D5ADCC" w:rsidR="00C06658" w:rsidRPr="00E81D0D" w:rsidRDefault="00C06658" w:rsidP="00C066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B31DC" w14:textId="48EC94BC" w:rsidR="00C06658" w:rsidRPr="00E81D0D" w:rsidRDefault="00C06658" w:rsidP="00C066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inváznych a potenciálne inváznych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9EC" w14:textId="66AAD4D8" w:rsidR="00C06658" w:rsidRPr="00E81D0D" w:rsidRDefault="00C06658" w:rsidP="00C066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17BD3D" w14:textId="17A5926F" w:rsidR="00C06658" w:rsidRPr="00E81D0D" w:rsidRDefault="00C06658" w:rsidP="00C066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sekundárna sukcesia inváznych a potenciálne inváznych drevín na lokalite </w:t>
            </w:r>
            <w:r>
              <w:rPr>
                <w:sz w:val="20"/>
                <w:szCs w:val="20"/>
              </w:rPr>
              <w:t xml:space="preserve">udržaná </w:t>
            </w:r>
            <w:r w:rsidRPr="00EF3711">
              <w:rPr>
                <w:sz w:val="20"/>
                <w:szCs w:val="20"/>
              </w:rPr>
              <w:t>max. do 3%</w:t>
            </w:r>
          </w:p>
        </w:tc>
      </w:tr>
    </w:tbl>
    <w:p w14:paraId="5A933B91" w14:textId="77777777" w:rsidR="00B23AE1" w:rsidRPr="001921C3" w:rsidRDefault="00B23AE1" w:rsidP="00B23AE1">
      <w:pPr>
        <w:spacing w:line="240" w:lineRule="auto"/>
        <w:ind w:left="360"/>
        <w:jc w:val="both"/>
      </w:pPr>
    </w:p>
    <w:p w14:paraId="1F9F32A5" w14:textId="38BD0743" w:rsidR="00E64259" w:rsidRDefault="00762B99" w:rsidP="00E64259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Zlepšenie </w:t>
      </w:r>
      <w:r w:rsidR="00E64259">
        <w:rPr>
          <w:szCs w:val="24"/>
        </w:rPr>
        <w:t>stav</w:t>
      </w:r>
      <w:r w:rsidR="00C65C57">
        <w:rPr>
          <w:szCs w:val="24"/>
        </w:rPr>
        <w:t>u</w:t>
      </w:r>
      <w:r w:rsidR="00E64259">
        <w:rPr>
          <w:szCs w:val="24"/>
        </w:rPr>
        <w:t xml:space="preserve"> druhu</w:t>
      </w:r>
      <w:r w:rsidR="00E64259" w:rsidRPr="009327A0">
        <w:rPr>
          <w:szCs w:val="24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Lycaena</w:t>
      </w:r>
      <w:proofErr w:type="spellEnd"/>
      <w:r w:rsidR="00E64259"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dispar</w:t>
      </w:r>
      <w:proofErr w:type="spellEnd"/>
      <w:r w:rsidR="00E64259">
        <w:rPr>
          <w:szCs w:val="24"/>
        </w:rPr>
        <w:t xml:space="preserve"> z</w:t>
      </w:r>
      <w:r w:rsidR="00E64259">
        <w:t>a splnenia nasledovných atribútov</w:t>
      </w:r>
      <w:r w:rsidR="00E64259"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0E05DA" w14:paraId="07EA13F7" w14:textId="77777777" w:rsidTr="5537CDEB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B4A4" w14:textId="77777777" w:rsidR="000E05DA" w:rsidRPr="00C06658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C31B" w14:textId="77777777" w:rsidR="000E05DA" w:rsidRPr="00C06658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C03F" w14:textId="77777777" w:rsidR="000E05DA" w:rsidRPr="00C06658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F7C4" w14:textId="77777777" w:rsidR="000E05DA" w:rsidRPr="00C06658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0E05DA" w14:paraId="2B7124B4" w14:textId="77777777" w:rsidTr="5537CDEB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A4A7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5DCF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7815" w14:textId="36C7A137" w:rsidR="000E05DA" w:rsidRDefault="5537CDEB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537CDEB">
              <w:rPr>
                <w:rFonts w:eastAsia="Times New Roman"/>
                <w:sz w:val="20"/>
                <w:szCs w:val="20"/>
              </w:rPr>
              <w:t xml:space="preserve"> </w:t>
            </w:r>
            <w:r w:rsidR="00C06658">
              <w:rPr>
                <w:rFonts w:eastAsia="Times New Roman"/>
                <w:sz w:val="20"/>
                <w:szCs w:val="20"/>
              </w:rPr>
              <w:t>Min.</w:t>
            </w:r>
            <w:r w:rsidRPr="5537CDE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C13" w14:textId="1FAF5E48" w:rsidR="000E05DA" w:rsidRDefault="5537CDEB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537CDEB">
              <w:rPr>
                <w:rFonts w:eastAsia="Times New Roman"/>
                <w:sz w:val="20"/>
                <w:szCs w:val="20"/>
              </w:rPr>
              <w:t xml:space="preserve">odhaduje sa na  100 – 1000 jedincov ( z SDF), </w:t>
            </w:r>
            <w:r w:rsidRPr="5537CDEB">
              <w:rPr>
                <w:rFonts w:eastAsia="Times New Roman"/>
                <w:sz w:val="20"/>
                <w:szCs w:val="20"/>
              </w:rPr>
              <w:t xml:space="preserve">odhad je vyšší ako reálny stav, ktorý treba zistiť monitoringom a spresniť v SDF, v území nie je predpoklad existencie takej veľkej populácie, aj vzhľadom k </w:t>
            </w:r>
            <w:proofErr w:type="spellStart"/>
            <w:r w:rsidRPr="5537CDEB">
              <w:rPr>
                <w:rFonts w:eastAsia="Times New Roman"/>
                <w:sz w:val="20"/>
                <w:szCs w:val="20"/>
              </w:rPr>
              <w:t>bionómii</w:t>
            </w:r>
            <w:proofErr w:type="spellEnd"/>
            <w:r w:rsidRPr="5537CDEB">
              <w:rPr>
                <w:rFonts w:eastAsia="Times New Roman"/>
                <w:sz w:val="20"/>
                <w:szCs w:val="20"/>
              </w:rPr>
              <w:t xml:space="preserve"> druhu</w:t>
            </w:r>
          </w:p>
        </w:tc>
      </w:tr>
      <w:tr w:rsidR="000E05DA" w14:paraId="5114BD70" w14:textId="77777777" w:rsidTr="5537CDEB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D207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18B4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9A24" w14:textId="25C0A2BC" w:rsidR="000E05DA" w:rsidRDefault="5537CDEB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537CDEB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5537CDEB">
              <w:rPr>
                <w:rFonts w:eastAsia="Times New Roman"/>
                <w:sz w:val="20"/>
                <w:szCs w:val="20"/>
              </w:rPr>
              <w:t>1</w:t>
            </w:r>
            <w:r w:rsidRPr="5537CDEB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E5F" w14:textId="77777777" w:rsidR="000E05DA" w:rsidRDefault="000E05DA" w:rsidP="00056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022BC0" w14:paraId="2B5D39F2" w14:textId="77777777" w:rsidTr="5537CDEB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41B" w14:textId="77777777" w:rsidR="00022BC0" w:rsidRDefault="00022BC0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214B" w14:textId="52766004" w:rsidR="00022BC0" w:rsidRDefault="00022BC0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3102" w14:textId="34FA7218" w:rsidR="00022BC0" w:rsidRDefault="00022BC0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FEFBF" w14:textId="45EF6E43" w:rsidR="00022BC0" w:rsidRDefault="5537CDEB" w:rsidP="00C066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zachovanie lúčnej vegetácie a nelesných porastov s hostiteľskou rastlinou </w:t>
            </w:r>
            <w:proofErr w:type="spellStart"/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>. V zastúpení min. 20 %</w:t>
            </w:r>
          </w:p>
        </w:tc>
      </w:tr>
    </w:tbl>
    <w:p w14:paraId="3284BE4C" w14:textId="20A87F07" w:rsidR="004F7434" w:rsidRDefault="004F7434"/>
    <w:p w14:paraId="44618B13" w14:textId="77777777" w:rsidR="00FD0B6F" w:rsidRDefault="00FD0B6F" w:rsidP="00FD0B6F">
      <w:pPr>
        <w:spacing w:line="240" w:lineRule="auto"/>
        <w:ind w:left="360"/>
        <w:jc w:val="both"/>
        <w:rPr>
          <w:color w:val="000000"/>
          <w:shd w:val="clear" w:color="auto" w:fill="FFFFFF"/>
        </w:rPr>
      </w:pPr>
      <w:r w:rsidRPr="000A7A0A">
        <w:t>Z</w:t>
      </w:r>
      <w:r>
        <w:t xml:space="preserve">lepšenie stavu druhu </w:t>
      </w:r>
      <w:proofErr w:type="spellStart"/>
      <w:r w:rsidRPr="00155461">
        <w:rPr>
          <w:b/>
          <w:i/>
          <w:szCs w:val="24"/>
        </w:rPr>
        <w:t>Callimorpha</w:t>
      </w:r>
      <w:proofErr w:type="spellEnd"/>
      <w:r w:rsidRPr="00155461">
        <w:rPr>
          <w:b/>
          <w:i/>
          <w:szCs w:val="24"/>
        </w:rPr>
        <w:t xml:space="preserve"> </w:t>
      </w:r>
      <w:proofErr w:type="spellStart"/>
      <w:r w:rsidRPr="00155461">
        <w:rPr>
          <w:b/>
          <w:i/>
          <w:szCs w:val="24"/>
        </w:rPr>
        <w:t>quadripunctaria</w:t>
      </w:r>
      <w:proofErr w:type="spellEnd"/>
      <w:r>
        <w:rPr>
          <w:szCs w:val="24"/>
        </w:rPr>
        <w:t xml:space="preserve"> za splnenia nasledovných atribútov</w:t>
      </w:r>
      <w:r w:rsidRPr="000A7A0A"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FD0B6F" w:rsidRPr="000A7A0A" w14:paraId="361DFB93" w14:textId="77777777" w:rsidTr="5537CDEB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0E63" w14:textId="77777777" w:rsidR="00FD0B6F" w:rsidRPr="00C06658" w:rsidRDefault="00FD0B6F" w:rsidP="000B4AAB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A954" w14:textId="77777777" w:rsidR="00FD0B6F" w:rsidRPr="00C06658" w:rsidRDefault="00FD0B6F" w:rsidP="000B4AAB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F2A7" w14:textId="77777777" w:rsidR="00FD0B6F" w:rsidRPr="00C06658" w:rsidRDefault="00FD0B6F" w:rsidP="000B4AAB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C32A" w14:textId="77777777" w:rsidR="00FD0B6F" w:rsidRPr="00C06658" w:rsidRDefault="00FD0B6F" w:rsidP="000B4AAB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6658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FD0B6F" w:rsidRPr="000A7A0A" w14:paraId="3372DFCE" w14:textId="77777777" w:rsidTr="5537CDEB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FDA9" w14:textId="77777777" w:rsidR="00FD0B6F" w:rsidRPr="000A7A0A" w:rsidRDefault="00FD0B6F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C46" w14:textId="77777777" w:rsidR="00FD0B6F" w:rsidRPr="000A7A0A" w:rsidRDefault="00FD0B6F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EAC" w14:textId="7A37BEDC" w:rsidR="00FD0B6F" w:rsidRPr="009A5B90" w:rsidRDefault="00C06658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</w:t>
            </w:r>
            <w:r w:rsidR="00B23AE1">
              <w:rPr>
                <w:color w:val="000000"/>
                <w:sz w:val="20"/>
                <w:szCs w:val="20"/>
              </w:rPr>
              <w:t xml:space="preserve"> 1</w:t>
            </w:r>
            <w:r w:rsidR="00FD0B6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A87" w14:textId="47A20278" w:rsidR="00FD0B6F" w:rsidRPr="000A7A0A" w:rsidRDefault="5537CDEB" w:rsidP="00C0665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537CDEB">
              <w:rPr>
                <w:rFonts w:eastAsia="Times New Roman"/>
                <w:sz w:val="20"/>
                <w:szCs w:val="20"/>
              </w:rPr>
              <w:t>V súčasnosti sa odhaduje veľkosť populácie do  100 jedincov (z SDF</w:t>
            </w:r>
            <w:r w:rsidRPr="5537CDEB">
              <w:rPr>
                <w:rFonts w:eastAsia="Times New Roman"/>
                <w:sz w:val="20"/>
                <w:szCs w:val="20"/>
              </w:rPr>
              <w:t xml:space="preserve">), treba overiť komplexnejším monitoringom </w:t>
            </w:r>
          </w:p>
        </w:tc>
      </w:tr>
      <w:tr w:rsidR="00FD0B6F" w:rsidRPr="000A7A0A" w14:paraId="00ABFD0D" w14:textId="77777777" w:rsidTr="5537CDEB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59B" w14:textId="77777777" w:rsidR="00FD0B6F" w:rsidRPr="000A7A0A" w:rsidRDefault="00FD0B6F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800" w14:textId="77777777" w:rsidR="00FD0B6F" w:rsidRPr="000A7A0A" w:rsidRDefault="5537CDEB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5537CDE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F90" w14:textId="2D459BDF" w:rsidR="00FD0B6F" w:rsidRPr="009A5B90" w:rsidRDefault="5537CDEB" w:rsidP="3465733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5537CDEB">
              <w:rPr>
                <w:color w:val="000000" w:themeColor="text1"/>
                <w:sz w:val="20"/>
                <w:szCs w:val="20"/>
              </w:rPr>
              <w:t>2</w:t>
            </w:r>
            <w:r w:rsidRPr="5537CDE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AD8E" w14:textId="77777777" w:rsidR="00FD0B6F" w:rsidRPr="000A7A0A" w:rsidRDefault="00FD0B6F" w:rsidP="000B4AA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núzkym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FD0B6F" w:rsidRPr="000A7A0A" w14:paraId="79A146E9" w14:textId="77777777" w:rsidTr="5537CDEB">
        <w:trPr>
          <w:trHeight w:val="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4BE" w14:textId="77777777" w:rsidR="00FD0B6F" w:rsidRPr="000A7A0A" w:rsidRDefault="00FD0B6F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9A5B90">
              <w:rPr>
                <w:rFonts w:eastAsia="Times New Roman"/>
                <w:i/>
                <w:sz w:val="20"/>
                <w:szCs w:val="20"/>
              </w:rPr>
              <w:t>Sambucus</w:t>
            </w:r>
            <w:proofErr w:type="spellEnd"/>
            <w:r w:rsidRPr="009A5B90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5B90">
              <w:rPr>
                <w:rFonts w:eastAsia="Times New Roman"/>
                <w:i/>
                <w:sz w:val="20"/>
                <w:szCs w:val="20"/>
              </w:rPr>
              <w:t>ebulus</w:t>
            </w:r>
            <w:proofErr w:type="spellEnd"/>
            <w:r w:rsidRPr="009A5B90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A5B90">
              <w:rPr>
                <w:rFonts w:eastAsia="Times New Roman"/>
                <w:i/>
                <w:sz w:val="20"/>
                <w:szCs w:val="20"/>
              </w:rPr>
              <w:t>Eupatorium</w:t>
            </w:r>
            <w:proofErr w:type="spellEnd"/>
            <w:r w:rsidRPr="009A5B90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5B90">
              <w:rPr>
                <w:rFonts w:eastAsia="Times New Roman"/>
                <w:i/>
                <w:sz w:val="20"/>
                <w:szCs w:val="20"/>
              </w:rPr>
              <w:t>cannabinum</w:t>
            </w:r>
            <w:proofErr w:type="spellEnd"/>
            <w:r w:rsidRPr="009A5B90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A5B90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9A5B90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5B90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FA1" w14:textId="77777777" w:rsidR="00FD0B6F" w:rsidRPr="000A7A0A" w:rsidRDefault="00FD0B6F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A4B" w14:textId="77777777" w:rsidR="00FD0B6F" w:rsidRPr="000A7A0A" w:rsidRDefault="00FD0B6F" w:rsidP="000B4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>min. 5 %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DAD1" w14:textId="77777777" w:rsidR="00FD0B6F" w:rsidRPr="000A7A0A" w:rsidRDefault="00FD0B6F" w:rsidP="000B4AA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7A0A"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 w:rsidRPr="000A7A0A"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 w:rsidRPr="000A7A0A"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</w:tbl>
    <w:p w14:paraId="3B2A4152" w14:textId="77777777" w:rsidR="00FD0B6F" w:rsidRPr="000A7A0A" w:rsidRDefault="00FD0B6F" w:rsidP="00FD0B6F">
      <w:pPr>
        <w:pStyle w:val="Zkladntext"/>
        <w:widowControl w:val="0"/>
        <w:ind w:left="360"/>
        <w:jc w:val="both"/>
        <w:rPr>
          <w:b/>
          <w:i/>
        </w:rPr>
      </w:pPr>
    </w:p>
    <w:p w14:paraId="52388274" w14:textId="6CD0C7E0" w:rsidR="00FD0B6F" w:rsidRPr="00EF3712" w:rsidRDefault="00C06658" w:rsidP="00FD0B6F">
      <w:pPr>
        <w:spacing w:line="240" w:lineRule="auto"/>
        <w:jc w:val="both"/>
        <w:rPr>
          <w:rFonts w:eastAsia="Times New Roman"/>
          <w:i/>
          <w:color w:val="000000"/>
        </w:rPr>
      </w:pPr>
      <w:r>
        <w:rPr>
          <w:color w:val="000000"/>
        </w:rPr>
        <w:t>Z</w:t>
      </w:r>
      <w:r w:rsidR="00FD0B6F">
        <w:rPr>
          <w:color w:val="000000"/>
        </w:rPr>
        <w:t>lepšenie stavu</w:t>
      </w:r>
      <w:r w:rsidR="00FD0B6F" w:rsidRPr="00EF3712">
        <w:rPr>
          <w:color w:val="000000"/>
        </w:rPr>
        <w:t xml:space="preserve"> </w:t>
      </w:r>
      <w:r w:rsidR="00FD0B6F" w:rsidRPr="00EF3712">
        <w:rPr>
          <w:b/>
          <w:color w:val="000000"/>
        </w:rPr>
        <w:t xml:space="preserve">druhu </w:t>
      </w:r>
      <w:proofErr w:type="spellStart"/>
      <w:r w:rsidR="00FD0B6F" w:rsidRPr="00EF3712">
        <w:rPr>
          <w:rFonts w:eastAsia="Times New Roman"/>
          <w:b/>
          <w:i/>
          <w:color w:val="000000"/>
        </w:rPr>
        <w:t>Bombina</w:t>
      </w:r>
      <w:proofErr w:type="spellEnd"/>
      <w:r w:rsidR="00FD0B6F" w:rsidRPr="00EF3712">
        <w:rPr>
          <w:rFonts w:eastAsia="Times New Roman"/>
          <w:b/>
          <w:i/>
          <w:color w:val="000000"/>
        </w:rPr>
        <w:t xml:space="preserve"> </w:t>
      </w:r>
      <w:proofErr w:type="spellStart"/>
      <w:r w:rsidR="00FD0B6F">
        <w:rPr>
          <w:rFonts w:eastAsia="Times New Roman"/>
          <w:b/>
          <w:i/>
          <w:color w:val="000000"/>
        </w:rPr>
        <w:t>variegata</w:t>
      </w:r>
      <w:proofErr w:type="spellEnd"/>
      <w:r w:rsidR="00FD0B6F">
        <w:rPr>
          <w:rFonts w:eastAsia="Times New Roman"/>
          <w:b/>
          <w:i/>
          <w:color w:val="000000"/>
        </w:rPr>
        <w:t xml:space="preserve"> </w:t>
      </w:r>
      <w:r w:rsidR="00FD0B6F">
        <w:rPr>
          <w:color w:val="000000"/>
        </w:rPr>
        <w:t>za splnenia nasledovných atribútov</w:t>
      </w:r>
      <w:r w:rsidR="00FD0B6F" w:rsidRPr="00EF3712">
        <w:rPr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FD0B6F" w:rsidRPr="0000010E" w14:paraId="5D2F1481" w14:textId="77777777" w:rsidTr="5537CDEB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A0F" w14:textId="77777777" w:rsidR="00FD0B6F" w:rsidRPr="00B23AE1" w:rsidRDefault="00FD0B6F" w:rsidP="000B4AAB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D32" w14:textId="77777777" w:rsidR="00FD0B6F" w:rsidRPr="00B23AE1" w:rsidRDefault="00FD0B6F" w:rsidP="000B4AA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8A5" w14:textId="77777777" w:rsidR="00FD0B6F" w:rsidRPr="00B23AE1" w:rsidRDefault="00FD0B6F" w:rsidP="000B4AA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7D8" w14:textId="77777777" w:rsidR="00FD0B6F" w:rsidRPr="00B23AE1" w:rsidRDefault="00FD0B6F" w:rsidP="000B4AAB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23AE1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D0B6F" w:rsidRPr="0000010E" w14:paraId="577B7189" w14:textId="77777777" w:rsidTr="5537CDEB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D4D" w14:textId="77777777" w:rsidR="00FD0B6F" w:rsidRPr="00EF3712" w:rsidRDefault="00FD0B6F" w:rsidP="000B4AA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728" w14:textId="77777777" w:rsidR="00FD0B6F" w:rsidRPr="00EF3712" w:rsidRDefault="00FD0B6F" w:rsidP="000B4AA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3712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EF3712">
              <w:rPr>
                <w:rFonts w:eastAsia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EF371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776" w14:textId="359DCD17" w:rsidR="00FD0B6F" w:rsidRPr="00EF3712" w:rsidRDefault="00C06658" w:rsidP="00C0665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Min.</w:t>
            </w:r>
            <w:r w:rsidR="5537CDEB" w:rsidRPr="5537CDE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="5537CDEB" w:rsidRPr="5537CDEB">
              <w:rPr>
                <w:rFonts w:eastAsia="Times New Roman"/>
                <w:color w:val="000000" w:themeColor="text1"/>
                <w:sz w:val="20"/>
                <w:szCs w:val="20"/>
              </w:rPr>
              <w:t>00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0F9" w14:textId="01D1B5D7" w:rsidR="00FD0B6F" w:rsidRPr="00EF3712" w:rsidRDefault="5537CDEB" w:rsidP="00C06658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Odhaduje sa interval veľkosti populácie v území do 500 jedincov (z SDF), </w:t>
            </w:r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odhad je vyšší ako reálny stav, </w:t>
            </w:r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>bude potrebný komplexnejší monitoring populácie druhu.</w:t>
            </w:r>
          </w:p>
        </w:tc>
      </w:tr>
      <w:tr w:rsidR="00FD0B6F" w:rsidRPr="0000010E" w14:paraId="72737042" w14:textId="77777777" w:rsidTr="5537CDE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6DA3" w14:textId="77777777" w:rsidR="00FD0B6F" w:rsidRPr="00EF3712" w:rsidRDefault="00FD0B6F" w:rsidP="000B4AA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CA07" w14:textId="77777777" w:rsidR="00FD0B6F" w:rsidRPr="00EF3712" w:rsidRDefault="5537CDEB" w:rsidP="000B4AA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5537CDEB">
              <w:rPr>
                <w:rFonts w:eastAsia="Times New Roman"/>
                <w:color w:val="000000" w:themeColor="text1"/>
                <w:sz w:val="20"/>
                <w:szCs w:val="20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30C7" w14:textId="1FE6E38A" w:rsidR="00FD0B6F" w:rsidRPr="009A5B90" w:rsidRDefault="3465733F" w:rsidP="3465733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346573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3203" w14:textId="77777777" w:rsidR="00FD0B6F" w:rsidRPr="00EF3712" w:rsidRDefault="00FD0B6F" w:rsidP="000B4AA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FD0B6F" w:rsidRPr="0000010E" w14:paraId="391AE4DF" w14:textId="77777777" w:rsidTr="5537CDE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5A4" w14:textId="77777777" w:rsidR="00FD0B6F" w:rsidRPr="00EF3712" w:rsidRDefault="00FD0B6F" w:rsidP="000B4AA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Podiel 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potenciálneho reprodukčného biotopu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38B" w14:textId="77777777" w:rsidR="00FD0B6F" w:rsidRPr="00EF3712" w:rsidRDefault="00FD0B6F" w:rsidP="000B4AA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C13" w14:textId="77777777" w:rsidR="00FD0B6F" w:rsidRPr="00EF3712" w:rsidRDefault="00FD0B6F" w:rsidP="000B4AA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30D" w14:textId="7D6F0302" w:rsidR="00FD0B6F" w:rsidRPr="00EF3712" w:rsidRDefault="00FD0B6F" w:rsidP="000B4AA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Podiel reprodukčných plôch v rámci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 xml:space="preserve"> lokality (v rámci nížinných lúk a lesov v ha) - stojaté vodné plochy s vegetáciou, p</w:t>
            </w:r>
            <w:bookmarkStart w:id="0" w:name="_GoBack"/>
            <w:bookmarkEnd w:id="0"/>
            <w:r w:rsidRPr="00EF3712">
              <w:rPr>
                <w:rFonts w:eastAsia="Times New Roman"/>
                <w:color w:val="000000"/>
                <w:sz w:val="20"/>
                <w:szCs w:val="20"/>
              </w:rPr>
              <w:t>eriodicky zaplavované ploc</w:t>
            </w:r>
            <w:r w:rsidR="00C06658">
              <w:rPr>
                <w:rFonts w:eastAsia="Times New Roman"/>
                <w:color w:val="000000"/>
                <w:sz w:val="20"/>
                <w:szCs w:val="20"/>
              </w:rPr>
              <w:t>hy v alúviu, niekedy aj v koľaja</w:t>
            </w:r>
            <w:r w:rsidRPr="00EF3712">
              <w:rPr>
                <w:rFonts w:eastAsia="Times New Roman"/>
                <w:color w:val="000000"/>
                <w:sz w:val="20"/>
                <w:szCs w:val="20"/>
              </w:rPr>
              <w:t>ch na cestách a mlákach.</w:t>
            </w:r>
          </w:p>
        </w:tc>
      </w:tr>
    </w:tbl>
    <w:p w14:paraId="7B1DE184" w14:textId="77777777" w:rsidR="00FD0B6F" w:rsidRDefault="00FD0B6F"/>
    <w:sectPr w:rsidR="00FD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A55DA"/>
    <w:rsid w:val="000B4AAB"/>
    <w:rsid w:val="000E05DA"/>
    <w:rsid w:val="000E6089"/>
    <w:rsid w:val="000F143F"/>
    <w:rsid w:val="000F59CC"/>
    <w:rsid w:val="0019140E"/>
    <w:rsid w:val="001E6775"/>
    <w:rsid w:val="00240459"/>
    <w:rsid w:val="002E549A"/>
    <w:rsid w:val="003509FA"/>
    <w:rsid w:val="003E7F90"/>
    <w:rsid w:val="004F7434"/>
    <w:rsid w:val="00562BB2"/>
    <w:rsid w:val="005C00AB"/>
    <w:rsid w:val="00644A85"/>
    <w:rsid w:val="006A523E"/>
    <w:rsid w:val="00762B99"/>
    <w:rsid w:val="00786290"/>
    <w:rsid w:val="00833FB5"/>
    <w:rsid w:val="008800EB"/>
    <w:rsid w:val="009D5CAE"/>
    <w:rsid w:val="00A05C32"/>
    <w:rsid w:val="00A4711A"/>
    <w:rsid w:val="00B23AE1"/>
    <w:rsid w:val="00B90800"/>
    <w:rsid w:val="00BF1520"/>
    <w:rsid w:val="00C06658"/>
    <w:rsid w:val="00C65C57"/>
    <w:rsid w:val="00C9571F"/>
    <w:rsid w:val="00D76319"/>
    <w:rsid w:val="00DD1B08"/>
    <w:rsid w:val="00E64259"/>
    <w:rsid w:val="00EB0B18"/>
    <w:rsid w:val="00EC67A6"/>
    <w:rsid w:val="00EE1123"/>
    <w:rsid w:val="00F0318A"/>
    <w:rsid w:val="00F125A0"/>
    <w:rsid w:val="00F436A8"/>
    <w:rsid w:val="00F67A09"/>
    <w:rsid w:val="00FC40D0"/>
    <w:rsid w:val="00FD0B6F"/>
    <w:rsid w:val="3465733F"/>
    <w:rsid w:val="5537CDEB"/>
    <w:rsid w:val="798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f1528faba6c14096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7</cp:revision>
  <dcterms:created xsi:type="dcterms:W3CDTF">2023-05-23T07:16:00Z</dcterms:created>
  <dcterms:modified xsi:type="dcterms:W3CDTF">2023-08-04T12:13:00Z</dcterms:modified>
</cp:coreProperties>
</file>