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A5" w:rsidRPr="00347DA5" w:rsidRDefault="00347DA5" w:rsidP="00347DA5">
      <w:pPr>
        <w:pStyle w:val="Zkladntext"/>
        <w:widowControl w:val="0"/>
        <w:ind w:left="360"/>
        <w:jc w:val="both"/>
        <w:rPr>
          <w:b/>
          <w:color w:val="000000"/>
          <w:sz w:val="28"/>
          <w:szCs w:val="28"/>
        </w:rPr>
      </w:pPr>
      <w:r w:rsidRPr="00347DA5">
        <w:rPr>
          <w:b/>
          <w:color w:val="000000"/>
          <w:sz w:val="28"/>
          <w:szCs w:val="28"/>
        </w:rPr>
        <w:t>Ciele ochrany SKUEV</w:t>
      </w:r>
      <w:r w:rsidR="00EF3133">
        <w:rPr>
          <w:b/>
          <w:color w:val="000000"/>
          <w:sz w:val="28"/>
          <w:szCs w:val="28"/>
        </w:rPr>
        <w:t>1</w:t>
      </w:r>
      <w:r w:rsidRPr="00347DA5">
        <w:rPr>
          <w:b/>
          <w:color w:val="000000"/>
          <w:sz w:val="28"/>
          <w:szCs w:val="28"/>
        </w:rPr>
        <w:t xml:space="preserve">388 </w:t>
      </w:r>
      <w:proofErr w:type="spellStart"/>
      <w:r w:rsidRPr="00347DA5">
        <w:rPr>
          <w:b/>
          <w:color w:val="000000"/>
          <w:sz w:val="28"/>
          <w:szCs w:val="28"/>
        </w:rPr>
        <w:t>Vydrica</w:t>
      </w:r>
      <w:proofErr w:type="spellEnd"/>
    </w:p>
    <w:p w:rsidR="00347DA5" w:rsidRPr="00775056" w:rsidRDefault="00347DA5" w:rsidP="00347DA5">
      <w:pPr>
        <w:pStyle w:val="Zkladntext"/>
        <w:widowControl w:val="0"/>
        <w:ind w:left="360"/>
        <w:jc w:val="both"/>
        <w:rPr>
          <w:b/>
          <w:color w:val="000000"/>
          <w:shd w:val="clear" w:color="auto" w:fill="FFFFFF"/>
        </w:rPr>
      </w:pPr>
      <w:r w:rsidRPr="00775056">
        <w:rPr>
          <w:color w:val="000000"/>
        </w:rPr>
        <w:t xml:space="preserve">Zlepšenie stavu </w:t>
      </w:r>
      <w:r>
        <w:rPr>
          <w:color w:val="000000"/>
        </w:rPr>
        <w:t xml:space="preserve">biotopu </w:t>
      </w:r>
      <w:r w:rsidRPr="0016796D">
        <w:rPr>
          <w:b/>
          <w:color w:val="000000"/>
        </w:rPr>
        <w:t xml:space="preserve">Ls1.3 </w:t>
      </w:r>
      <w:r w:rsidRPr="0016796D">
        <w:rPr>
          <w:b/>
          <w:color w:val="000000"/>
          <w:shd w:val="clear" w:color="auto" w:fill="FFFFFF"/>
        </w:rPr>
        <w:t>(</w:t>
      </w:r>
      <w:r w:rsidRPr="0016796D">
        <w:rPr>
          <w:b/>
          <w:color w:val="000000"/>
          <w:lang w:eastAsia="sk-SK"/>
        </w:rPr>
        <w:t>91E0*</w:t>
      </w:r>
      <w:r w:rsidRPr="0016796D">
        <w:rPr>
          <w:b/>
          <w:color w:val="000000"/>
          <w:shd w:val="clear" w:color="auto" w:fill="FFFFFF"/>
        </w:rPr>
        <w:t>) Jaseňovo-jelšové podhorské lužné lesy</w:t>
      </w:r>
      <w:r w:rsidRPr="00775056">
        <w:rPr>
          <w:color w:val="000000"/>
        </w:rPr>
        <w:t xml:space="preserve"> 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1134"/>
        <w:gridCol w:w="5128"/>
      </w:tblGrid>
      <w:tr w:rsidR="00347DA5" w:rsidRPr="0000010E" w:rsidTr="00EF3711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775056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47DA5" w:rsidRPr="0000010E" w:rsidTr="00EF3711">
        <w:trPr>
          <w:trHeight w:val="270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EF3133" w:rsidP="00EF371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Min.15</w:t>
            </w:r>
            <w:r w:rsidR="00347DA5" w:rsidRPr="00775056">
              <w:rPr>
                <w:color w:val="000000"/>
                <w:sz w:val="18"/>
                <w:szCs w:val="18"/>
              </w:rPr>
              <w:t xml:space="preserve"> ha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775056" w:rsidRDefault="00347DA5" w:rsidP="00EF3711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Min. udržanie existujúcej výmery biot</w:t>
            </w:r>
            <w:r>
              <w:rPr>
                <w:color w:val="000000"/>
                <w:sz w:val="18"/>
                <w:szCs w:val="18"/>
              </w:rPr>
              <w:t>opu v</w:t>
            </w:r>
            <w:r w:rsidR="00EF313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území</w:t>
            </w:r>
            <w:r w:rsidR="00EF3133">
              <w:rPr>
                <w:color w:val="000000"/>
                <w:sz w:val="18"/>
                <w:szCs w:val="18"/>
              </w:rPr>
              <w:t>, vhodné zvýšenie výmery na 30 ha</w:t>
            </w:r>
            <w:r w:rsidRPr="00775056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347DA5" w:rsidRPr="0000010E" w:rsidTr="00EF3711">
        <w:trPr>
          <w:trHeight w:val="179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AE6C2D" w:rsidRDefault="00347DA5" w:rsidP="00EF3711">
            <w:pPr>
              <w:rPr>
                <w:color w:val="000000"/>
                <w:sz w:val="18"/>
                <w:szCs w:val="18"/>
              </w:rPr>
            </w:pPr>
            <w:r w:rsidRPr="00AE6C2D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347DA5" w:rsidRPr="00AE6C2D" w:rsidRDefault="00347DA5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AE6C2D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AE6C2D">
              <w:rPr>
                <w:i/>
                <w:sz w:val="18"/>
                <w:szCs w:val="18"/>
              </w:rPr>
              <w:t>platanoides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A. </w:t>
            </w:r>
            <w:proofErr w:type="spellStart"/>
            <w:r w:rsidRPr="00AE6C2D">
              <w:rPr>
                <w:i/>
                <w:sz w:val="18"/>
                <w:szCs w:val="18"/>
              </w:rPr>
              <w:t>pseudoplatanus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Alnus</w:t>
            </w:r>
            <w:proofErr w:type="spellEnd"/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glutinosa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r w:rsidRPr="00AE6C2D">
              <w:rPr>
                <w:b/>
                <w:i/>
                <w:sz w:val="18"/>
                <w:szCs w:val="18"/>
              </w:rPr>
              <w:t xml:space="preserve">A. </w:t>
            </w:r>
            <w:proofErr w:type="spellStart"/>
            <w:r w:rsidRPr="00AE6C2D">
              <w:rPr>
                <w:b/>
                <w:i/>
                <w:sz w:val="18"/>
                <w:szCs w:val="18"/>
              </w:rPr>
              <w:t>incana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Carpinus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betulus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Fraxinus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excelsior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Padus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avium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AE6C2D">
              <w:rPr>
                <w:i/>
                <w:sz w:val="18"/>
                <w:szCs w:val="18"/>
              </w:rPr>
              <w:t>Populus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x </w:t>
            </w:r>
            <w:proofErr w:type="spellStart"/>
            <w:r w:rsidRPr="00AE6C2D">
              <w:rPr>
                <w:i/>
                <w:sz w:val="18"/>
                <w:szCs w:val="18"/>
              </w:rPr>
              <w:t>canescens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P. </w:t>
            </w:r>
            <w:proofErr w:type="spellStart"/>
            <w:r w:rsidRPr="00AE6C2D">
              <w:rPr>
                <w:i/>
                <w:sz w:val="18"/>
                <w:szCs w:val="18"/>
              </w:rPr>
              <w:t>nigra</w:t>
            </w:r>
            <w:proofErr w:type="spellEnd"/>
            <w:r w:rsidRPr="00AE6C2D">
              <w:rPr>
                <w:i/>
                <w:sz w:val="18"/>
                <w:szCs w:val="18"/>
              </w:rPr>
              <w:t>,</w:t>
            </w:r>
            <w:r w:rsidRPr="00AE6C2D">
              <w:rPr>
                <w:b/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Quercus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robur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sz w:val="18"/>
                <w:szCs w:val="18"/>
              </w:rPr>
              <w:t>agg</w:t>
            </w:r>
            <w:proofErr w:type="spellEnd"/>
            <w:r w:rsidRPr="00AE6C2D">
              <w:rPr>
                <w:sz w:val="18"/>
                <w:szCs w:val="18"/>
              </w:rPr>
              <w:t>.</w:t>
            </w:r>
            <w:r w:rsidRPr="00AE6C2D">
              <w:rPr>
                <w:i/>
                <w:sz w:val="18"/>
                <w:szCs w:val="18"/>
              </w:rPr>
              <w:t xml:space="preserve"> &lt;20%,</w:t>
            </w:r>
            <w:r w:rsidRPr="00AE6C2D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Salix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alba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S. </w:t>
            </w:r>
            <w:proofErr w:type="spellStart"/>
            <w:r w:rsidRPr="00AE6C2D">
              <w:rPr>
                <w:i/>
                <w:sz w:val="18"/>
                <w:szCs w:val="18"/>
              </w:rPr>
              <w:t>caprea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S.fragilis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Sorbus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aucuparia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Tilia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cordata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AE6C2D">
              <w:rPr>
                <w:i/>
                <w:sz w:val="18"/>
                <w:szCs w:val="18"/>
              </w:rPr>
              <w:t xml:space="preserve">&lt;5%,, </w:t>
            </w:r>
            <w:proofErr w:type="spellStart"/>
            <w:r w:rsidRPr="00AE6C2D">
              <w:rPr>
                <w:i/>
                <w:sz w:val="18"/>
                <w:szCs w:val="18"/>
              </w:rPr>
              <w:t>Ulmus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glabra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laevis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U. </w:t>
            </w:r>
            <w:proofErr w:type="spellStart"/>
            <w:r w:rsidRPr="00AE6C2D">
              <w:rPr>
                <w:i/>
                <w:sz w:val="18"/>
                <w:szCs w:val="18"/>
              </w:rPr>
              <w:t>minor</w:t>
            </w:r>
            <w:proofErr w:type="spellEnd"/>
          </w:p>
        </w:tc>
      </w:tr>
      <w:tr w:rsidR="00347DA5" w:rsidRPr="0000010E" w:rsidTr="00EF3711">
        <w:trPr>
          <w:trHeight w:val="173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347DA5" w:rsidRPr="00AE6C2D" w:rsidRDefault="00347DA5" w:rsidP="00EF3711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AE6C2D">
              <w:rPr>
                <w:i/>
                <w:sz w:val="18"/>
                <w:szCs w:val="18"/>
              </w:rPr>
              <w:t>Aegopodium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podagraria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Astrantia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major, </w:t>
            </w:r>
            <w:proofErr w:type="spellStart"/>
            <w:r w:rsidRPr="00AE6C2D">
              <w:rPr>
                <w:i/>
                <w:sz w:val="18"/>
                <w:szCs w:val="18"/>
              </w:rPr>
              <w:t>Cal</w:t>
            </w:r>
            <w:r>
              <w:rPr>
                <w:i/>
                <w:sz w:val="18"/>
                <w:szCs w:val="18"/>
              </w:rPr>
              <w:t>tha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palustris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Cardamine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amara</w:t>
            </w:r>
            <w:proofErr w:type="spellEnd"/>
            <w:r>
              <w:rPr>
                <w:i/>
                <w:sz w:val="18"/>
                <w:szCs w:val="18"/>
              </w:rPr>
              <w:t>,</w:t>
            </w:r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Carex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remota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Chaerophylum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hirsutum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Chrysosplenium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alternifolium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Circaea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intermedia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Cirsium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oleraceum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Crepis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paludosa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Equisetum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Filipendula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ulmaria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Geum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rivale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Glechoma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hederacea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Lamium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maculatum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Lysimachia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Myosotis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scorpioides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agg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Primula </w:t>
            </w:r>
            <w:proofErr w:type="spellStart"/>
            <w:r w:rsidRPr="00AE6C2D">
              <w:rPr>
                <w:i/>
                <w:sz w:val="18"/>
                <w:szCs w:val="18"/>
              </w:rPr>
              <w:t>elatior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Rubus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sp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AE6C2D">
              <w:rPr>
                <w:i/>
                <w:sz w:val="18"/>
                <w:szCs w:val="18"/>
              </w:rPr>
              <w:t>Stachys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sylvatica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Stellaria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nemorum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E6C2D">
              <w:rPr>
                <w:i/>
                <w:sz w:val="18"/>
                <w:szCs w:val="18"/>
              </w:rPr>
              <w:t>Urtica</w:t>
            </w:r>
            <w:proofErr w:type="spellEnd"/>
            <w:r w:rsidRPr="00AE6C2D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AE6C2D">
              <w:rPr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347DA5" w:rsidRPr="0000010E" w:rsidTr="00EF3711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 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menej ako 1</w:t>
            </w:r>
            <w:r w:rsidRPr="00775056"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/inváznych druhov drevín v biotope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Negundo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aceroides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Robinia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pseudoacacia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Ailanthus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 a bylín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7DA5" w:rsidRPr="0000010E" w:rsidTr="00EF3711">
        <w:trPr>
          <w:trHeight w:val="114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</w:t>
            </w:r>
            <w:r w:rsidRPr="00775056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775056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najmenej 20</w:t>
            </w:r>
          </w:p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47DA5" w:rsidRPr="00775056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rovnomerne po celej ploche</w:t>
            </w:r>
          </w:p>
        </w:tc>
        <w:tc>
          <w:tcPr>
            <w:tcW w:w="51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Zabezpečenie prítomnosti odumretého dreva na ploche biotopu v danom objeme.</w:t>
            </w:r>
          </w:p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47DA5" w:rsidRPr="00354686" w:rsidRDefault="00347DA5" w:rsidP="00347DA5">
      <w:pPr>
        <w:pStyle w:val="Zkladntext"/>
        <w:widowControl w:val="0"/>
        <w:jc w:val="both"/>
        <w:rPr>
          <w:b/>
        </w:rPr>
      </w:pPr>
    </w:p>
    <w:p w:rsidR="00347DA5" w:rsidRPr="00775056" w:rsidRDefault="00347DA5" w:rsidP="00347DA5">
      <w:pPr>
        <w:pStyle w:val="Zkladntext"/>
        <w:widowControl w:val="0"/>
        <w:jc w:val="both"/>
        <w:rPr>
          <w:b/>
          <w:color w:val="000000"/>
          <w:shd w:val="clear" w:color="auto" w:fill="FFFFFF"/>
        </w:rPr>
      </w:pPr>
      <w:r>
        <w:rPr>
          <w:color w:val="000000"/>
        </w:rPr>
        <w:t xml:space="preserve">Zachovanie priaznivého </w:t>
      </w:r>
      <w:r w:rsidRPr="00775056">
        <w:rPr>
          <w:color w:val="000000"/>
        </w:rPr>
        <w:t xml:space="preserve">stavu biotopu </w:t>
      </w:r>
      <w:r w:rsidRPr="0016796D">
        <w:rPr>
          <w:b/>
          <w:color w:val="000000"/>
        </w:rPr>
        <w:t xml:space="preserve">Ls5.1 </w:t>
      </w:r>
      <w:r w:rsidRPr="0016796D">
        <w:rPr>
          <w:b/>
          <w:color w:val="000000"/>
          <w:shd w:val="clear" w:color="auto" w:fill="FFFFFF"/>
        </w:rPr>
        <w:t>(</w:t>
      </w:r>
      <w:r w:rsidRPr="0016796D">
        <w:rPr>
          <w:b/>
          <w:color w:val="000000"/>
          <w:lang w:eastAsia="sk-SK"/>
        </w:rPr>
        <w:t>9130</w:t>
      </w:r>
      <w:r w:rsidRPr="0016796D">
        <w:rPr>
          <w:b/>
          <w:color w:val="000000"/>
          <w:shd w:val="clear" w:color="auto" w:fill="FFFFFF"/>
        </w:rPr>
        <w:t>) Bukové a jedľovo-bukové kvetnaté lesy</w:t>
      </w:r>
      <w:r w:rsidRPr="00775056">
        <w:rPr>
          <w:color w:val="000000"/>
        </w:rPr>
        <w:t xml:space="preserve"> za splnenia nasledovných atribútov</w:t>
      </w:r>
      <w:r w:rsidRPr="00775056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347DA5" w:rsidRPr="00354686" w:rsidTr="00EF3711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347DA5" w:rsidRPr="00354686" w:rsidTr="00EF3711">
        <w:trPr>
          <w:trHeight w:val="27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Min. udržanie existujúcej vým</w:t>
            </w:r>
            <w:r>
              <w:rPr>
                <w:color w:val="000000"/>
                <w:sz w:val="18"/>
                <w:szCs w:val="18"/>
              </w:rPr>
              <w:t>ery biotopu v území</w:t>
            </w:r>
            <w:r w:rsidRPr="00775056">
              <w:rPr>
                <w:color w:val="000000"/>
                <w:sz w:val="18"/>
                <w:szCs w:val="18"/>
              </w:rPr>
              <w:t xml:space="preserve">. </w:t>
            </w:r>
          </w:p>
        </w:tc>
      </w:tr>
      <w:tr w:rsidR="00347DA5" w:rsidRPr="00354686" w:rsidTr="00EF3711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468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54686">
              <w:rPr>
                <w:sz w:val="18"/>
                <w:szCs w:val="18"/>
              </w:rPr>
              <w:t>najmenej 80 %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Charakteristická druhová skladba:</w:t>
            </w:r>
          </w:p>
          <w:p w:rsidR="00347DA5" w:rsidRPr="00354686" w:rsidRDefault="00347DA5" w:rsidP="00EF37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41E09">
              <w:rPr>
                <w:i/>
                <w:sz w:val="18"/>
                <w:szCs w:val="18"/>
              </w:rPr>
              <w:t>Abies</w:t>
            </w:r>
            <w:proofErr w:type="spellEnd"/>
            <w:r w:rsidRPr="00441E0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41E09">
              <w:rPr>
                <w:i/>
                <w:sz w:val="18"/>
                <w:szCs w:val="18"/>
              </w:rPr>
              <w:t>alba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A.platanoides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354686">
              <w:rPr>
                <w:i/>
                <w:sz w:val="18"/>
                <w:szCs w:val="18"/>
              </w:rPr>
              <w:t>pseudoplatanus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>*</w:t>
            </w:r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Fraxinus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excelsior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Picea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abies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&lt;25%, </w:t>
            </w:r>
            <w:proofErr w:type="spellStart"/>
            <w:r w:rsidRPr="00354686">
              <w:rPr>
                <w:i/>
                <w:sz w:val="18"/>
                <w:szCs w:val="18"/>
              </w:rPr>
              <w:t>Sorbus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sz w:val="18"/>
                <w:szCs w:val="18"/>
              </w:rPr>
              <w:t>spp</w:t>
            </w:r>
            <w:proofErr w:type="spellEnd"/>
            <w:r w:rsidRPr="00354686">
              <w:rPr>
                <w:sz w:val="18"/>
                <w:szCs w:val="18"/>
              </w:rPr>
              <w:t>.,</w:t>
            </w:r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Tilia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cordata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354686">
              <w:rPr>
                <w:i/>
                <w:sz w:val="18"/>
                <w:szCs w:val="18"/>
              </w:rPr>
              <w:t>platyphyllos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Ulmus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Carpinus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betulus</w:t>
            </w:r>
            <w:proofErr w:type="spellEnd"/>
            <w:r w:rsidRPr="00354686">
              <w:rPr>
                <w:i/>
                <w:sz w:val="18"/>
                <w:szCs w:val="18"/>
              </w:rPr>
              <w:t>,</w:t>
            </w:r>
            <w:r w:rsidRPr="00354686">
              <w:rPr>
                <w:sz w:val="18"/>
                <w:szCs w:val="18"/>
              </w:rPr>
              <w:t>.</w:t>
            </w:r>
          </w:p>
          <w:p w:rsidR="00347DA5" w:rsidRPr="00AE6C2D" w:rsidRDefault="00347DA5" w:rsidP="00EF3711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354686">
              <w:rPr>
                <w:b/>
                <w:sz w:val="18"/>
                <w:szCs w:val="18"/>
              </w:rPr>
              <w:t>*</w:t>
            </w:r>
            <w:r w:rsidRPr="00354686">
              <w:rPr>
                <w:sz w:val="18"/>
                <w:szCs w:val="18"/>
              </w:rPr>
              <w:t>(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b/>
                <w:i/>
                <w:sz w:val="18"/>
                <w:szCs w:val="18"/>
              </w:rPr>
              <w:t xml:space="preserve"> </w:t>
            </w:r>
            <w:r w:rsidRPr="00354686">
              <w:rPr>
                <w:sz w:val="18"/>
                <w:szCs w:val="18"/>
              </w:rPr>
              <w:t>minimálne 40%)</w:t>
            </w:r>
          </w:p>
        </w:tc>
      </w:tr>
      <w:tr w:rsidR="00347DA5" w:rsidRPr="00354686" w:rsidTr="00EF3711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widowControl w:val="0"/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najmenej 5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both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Charakteristická druhová skladba:</w:t>
            </w:r>
          </w:p>
          <w:p w:rsidR="00347DA5" w:rsidRPr="00354686" w:rsidRDefault="00347DA5" w:rsidP="00EF3711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354686">
              <w:rPr>
                <w:i/>
                <w:sz w:val="18"/>
                <w:szCs w:val="18"/>
              </w:rPr>
              <w:t>Aconitum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moldavicum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Actaea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spicata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Asarum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Athyrium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filix-femina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Bromus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benekenii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Carex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pilosa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Dentaria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bulbifera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i/>
                <w:sz w:val="18"/>
                <w:szCs w:val="18"/>
              </w:rPr>
              <w:t>enneaphyllos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D. </w:t>
            </w:r>
            <w:proofErr w:type="spellStart"/>
            <w:r w:rsidRPr="00354686">
              <w:rPr>
                <w:i/>
                <w:sz w:val="18"/>
                <w:szCs w:val="18"/>
              </w:rPr>
              <w:t>glandulosa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i/>
                <w:sz w:val="18"/>
                <w:szCs w:val="18"/>
              </w:rPr>
              <w:t>Dryopteris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filix-mas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Festuca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altissima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F. </w:t>
            </w:r>
            <w:proofErr w:type="spellStart"/>
            <w:r w:rsidRPr="00354686">
              <w:rPr>
                <w:i/>
                <w:sz w:val="18"/>
                <w:szCs w:val="18"/>
              </w:rPr>
              <w:t>drymeja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Galeobdolon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luteum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i/>
                <w:sz w:val="18"/>
                <w:szCs w:val="18"/>
              </w:rPr>
              <w:t>Galium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odoratum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Geranium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robertianum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Hordelymus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Isopyrum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thalictroides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Lilium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martagon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Melica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nutans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M. </w:t>
            </w:r>
            <w:proofErr w:type="spellStart"/>
            <w:r w:rsidRPr="00354686">
              <w:rPr>
                <w:i/>
                <w:sz w:val="18"/>
                <w:szCs w:val="18"/>
              </w:rPr>
              <w:t>uniflora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Mercurialis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perennis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Myosotis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sylvatica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agg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354686">
              <w:rPr>
                <w:i/>
                <w:sz w:val="18"/>
                <w:szCs w:val="18"/>
              </w:rPr>
              <w:t>Oxalis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acetosella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Paris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lastRenderedPageBreak/>
              <w:t>quadrifolia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Poa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nemoralis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Polygonatum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verticillatum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Prenanthes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purpurea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Pulmonaria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obscura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Rubus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hirtus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Salvia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glutinosa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354686">
              <w:rPr>
                <w:i/>
                <w:sz w:val="18"/>
                <w:szCs w:val="18"/>
              </w:rPr>
              <w:t>Sanicula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europaea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Senecio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ovatus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Symphytum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tuberosum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Tithymalus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amygdaloides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354686">
              <w:rPr>
                <w:i/>
                <w:sz w:val="18"/>
                <w:szCs w:val="18"/>
              </w:rPr>
              <w:t>Veronica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54686">
              <w:rPr>
                <w:i/>
                <w:sz w:val="18"/>
                <w:szCs w:val="18"/>
              </w:rPr>
              <w:t>montana</w:t>
            </w:r>
            <w:proofErr w:type="spellEnd"/>
            <w:r w:rsidRPr="00354686">
              <w:rPr>
                <w:i/>
                <w:sz w:val="18"/>
                <w:szCs w:val="18"/>
              </w:rPr>
              <w:t xml:space="preserve">, Viola </w:t>
            </w:r>
            <w:proofErr w:type="spellStart"/>
            <w:r w:rsidRPr="00354686">
              <w:rPr>
                <w:i/>
                <w:sz w:val="18"/>
                <w:szCs w:val="18"/>
              </w:rPr>
              <w:t>reichenbachiana</w:t>
            </w:r>
            <w:proofErr w:type="spellEnd"/>
          </w:p>
        </w:tc>
      </w:tr>
      <w:tr w:rsidR="00347DA5" w:rsidRPr="0035468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lastRenderedPageBreak/>
              <w:t xml:space="preserve">Zastúpenie </w:t>
            </w:r>
            <w:proofErr w:type="spellStart"/>
            <w:r w:rsidRPr="00775056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 xml:space="preserve"> druhov/inváznych druhov drevín a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775056">
              <w:rPr>
                <w:color w:val="000000"/>
                <w:sz w:val="18"/>
                <w:szCs w:val="18"/>
              </w:rPr>
              <w:t>bylín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Menej ako 1 %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354686" w:rsidRDefault="00347DA5" w:rsidP="00EF3711">
            <w:pPr>
              <w:jc w:val="both"/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Minimálne zastúpenie inváznych druhov (</w:t>
            </w:r>
            <w:proofErr w:type="spellStart"/>
            <w:r w:rsidRPr="00775056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775056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000000"/>
                <w:sz w:val="18"/>
                <w:szCs w:val="18"/>
              </w:rPr>
              <w:t>parvoflora</w:t>
            </w:r>
            <w:proofErr w:type="spellEnd"/>
            <w:r w:rsidRPr="007750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47DA5" w:rsidRPr="00354686" w:rsidTr="00EF3711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347DA5" w:rsidRPr="00354686" w:rsidRDefault="00347DA5" w:rsidP="00EF3711">
            <w:pPr>
              <w:rPr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m</w:t>
            </w:r>
            <w:r w:rsidRPr="00354686">
              <w:rPr>
                <w:sz w:val="18"/>
                <w:szCs w:val="18"/>
                <w:vertAlign w:val="superscript"/>
              </w:rPr>
              <w:t>3</w:t>
            </w:r>
            <w:r w:rsidRPr="00354686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 w:rsidRPr="00354686">
              <w:rPr>
                <w:sz w:val="18"/>
                <w:szCs w:val="18"/>
              </w:rPr>
              <w:t>najmenej 20</w:t>
            </w:r>
          </w:p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</w:p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775056">
              <w:rPr>
                <w:color w:val="000000"/>
                <w:sz w:val="18"/>
                <w:szCs w:val="18"/>
              </w:rPr>
              <w:t xml:space="preserve">Zabezpečenie </w:t>
            </w:r>
            <w:r>
              <w:rPr>
                <w:color w:val="000000"/>
                <w:sz w:val="18"/>
                <w:szCs w:val="18"/>
              </w:rPr>
              <w:t xml:space="preserve">udržania </w:t>
            </w:r>
            <w:r w:rsidRPr="00775056">
              <w:rPr>
                <w:color w:val="000000"/>
                <w:sz w:val="18"/>
                <w:szCs w:val="18"/>
              </w:rPr>
              <w:t>prítomnosti odumretého dreva na ploche biotopu v danom objeme.</w:t>
            </w:r>
          </w:p>
          <w:p w:rsidR="00347DA5" w:rsidRPr="00354686" w:rsidRDefault="00347DA5" w:rsidP="00EF3711">
            <w:pPr>
              <w:rPr>
                <w:sz w:val="18"/>
                <w:szCs w:val="18"/>
              </w:rPr>
            </w:pPr>
          </w:p>
        </w:tc>
      </w:tr>
    </w:tbl>
    <w:p w:rsidR="00347DA5" w:rsidRPr="00354686" w:rsidRDefault="00347DA5" w:rsidP="00347DA5"/>
    <w:p w:rsidR="00347DA5" w:rsidRDefault="00347DA5" w:rsidP="00347DA5">
      <w:pPr>
        <w:jc w:val="both"/>
        <w:rPr>
          <w:sz w:val="18"/>
          <w:szCs w:val="18"/>
        </w:rPr>
      </w:pPr>
    </w:p>
    <w:p w:rsidR="00347DA5" w:rsidRDefault="00347DA5" w:rsidP="00347DA5">
      <w:pPr>
        <w:jc w:val="both"/>
        <w:rPr>
          <w:color w:val="000000"/>
        </w:rPr>
      </w:pPr>
      <w:r>
        <w:t>Zlepšenie stavu</w:t>
      </w:r>
      <w:r>
        <w:t xml:space="preserve"> druhu</w:t>
      </w:r>
      <w:r>
        <w:t xml:space="preserve"> </w:t>
      </w:r>
      <w:r w:rsidRPr="0016796D">
        <w:rPr>
          <w:b/>
        </w:rPr>
        <w:t xml:space="preserve">rak </w:t>
      </w:r>
      <w:proofErr w:type="spellStart"/>
      <w:r w:rsidRPr="0016796D">
        <w:rPr>
          <w:b/>
        </w:rPr>
        <w:t>riavový</w:t>
      </w:r>
      <w:proofErr w:type="spellEnd"/>
      <w:r w:rsidRPr="0016796D">
        <w:rPr>
          <w:b/>
        </w:rPr>
        <w:t xml:space="preserve"> (</w:t>
      </w:r>
      <w:proofErr w:type="spellStart"/>
      <w:r w:rsidRPr="0016796D">
        <w:rPr>
          <w:b/>
          <w:i/>
        </w:rPr>
        <w:t>Austropotamobium</w:t>
      </w:r>
      <w:proofErr w:type="spellEnd"/>
      <w:r w:rsidRPr="0016796D">
        <w:rPr>
          <w:b/>
          <w:i/>
        </w:rPr>
        <w:t xml:space="preserve"> </w:t>
      </w:r>
      <w:proofErr w:type="spellStart"/>
      <w:r w:rsidRPr="0016796D">
        <w:rPr>
          <w:b/>
          <w:i/>
        </w:rPr>
        <w:t>torrentium</w:t>
      </w:r>
      <w:proofErr w:type="spellEnd"/>
      <w:r w:rsidRPr="0016796D">
        <w:rPr>
          <w:b/>
        </w:rPr>
        <w:t>)</w:t>
      </w:r>
      <w:r>
        <w:t xml:space="preserve"> </w:t>
      </w:r>
      <w:r>
        <w:rPr>
          <w:color w:val="000000"/>
        </w:rPr>
        <w:t>za splnenia nasledovných</w:t>
      </w:r>
      <w:r w:rsidRPr="00626A09">
        <w:rPr>
          <w:color w:val="000000"/>
        </w:rPr>
        <w:t xml:space="preserve"> </w:t>
      </w:r>
      <w:r>
        <w:rPr>
          <w:color w:val="000000"/>
        </w:rPr>
        <w:t>atribút</w:t>
      </w:r>
      <w:r>
        <w:rPr>
          <w:color w:val="000000"/>
        </w:rPr>
        <w:t>ov:</w:t>
      </w:r>
    </w:p>
    <w:p w:rsidR="00347DA5" w:rsidRPr="00626A09" w:rsidRDefault="00347DA5" w:rsidP="00347DA5">
      <w:pPr>
        <w:jc w:val="both"/>
        <w:rPr>
          <w:i/>
          <w:color w:val="000000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2284"/>
        <w:gridCol w:w="2460"/>
        <w:gridCol w:w="3337"/>
      </w:tblGrid>
      <w:tr w:rsidR="00347DA5" w:rsidRPr="00652926" w:rsidTr="00347DA5">
        <w:trPr>
          <w:trHeight w:val="62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47DA5" w:rsidRPr="00652926" w:rsidTr="00347DA5">
        <w:trPr>
          <w:trHeight w:val="62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Počet jedincov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EF3133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Viac ako 5</w:t>
            </w:r>
            <w:r w:rsidR="00347DA5">
              <w:rPr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Zvýšená veľkosť populácie</w:t>
            </w:r>
            <w:r w:rsidR="00EF3133">
              <w:rPr>
                <w:sz w:val="20"/>
                <w:szCs w:val="20"/>
                <w:lang w:eastAsia="sk-SK"/>
              </w:rPr>
              <w:t xml:space="preserve"> zo súčasných 5</w:t>
            </w:r>
            <w:r>
              <w:rPr>
                <w:sz w:val="20"/>
                <w:szCs w:val="20"/>
                <w:lang w:eastAsia="sk-SK"/>
              </w:rPr>
              <w:t xml:space="preserve">0 jedincov. </w:t>
            </w:r>
          </w:p>
        </w:tc>
      </w:tr>
      <w:tr w:rsidR="00347DA5" w:rsidRPr="00652926" w:rsidTr="00347DA5">
        <w:trPr>
          <w:trHeight w:val="930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Podiel toku v % s vyhovujúcimi podmienkami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Viac ako 50 % toku s vyhovujúcimi podmienkami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Úseky toku s výskytom druhu s vyhovujúcimi podmienkami na úkryt</w:t>
            </w:r>
          </w:p>
        </w:tc>
      </w:tr>
      <w:tr w:rsidR="00347DA5" w:rsidRPr="00652926" w:rsidTr="00347DA5">
        <w:trPr>
          <w:trHeight w:val="1264"/>
        </w:trPr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A156DD">
              <w:rPr>
                <w:sz w:val="20"/>
                <w:szCs w:val="20"/>
              </w:rPr>
              <w:t xml:space="preserve">Kvalita vody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Monitoring kvality povrchových vôd (SHMU)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vyhovujúce</w:t>
            </w:r>
            <w:r w:rsidRPr="00A156DD" w:rsidDel="008E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A5" w:rsidRPr="00652926" w:rsidRDefault="00347DA5" w:rsidP="00EF3711">
            <w:pPr>
              <w:rPr>
                <w:sz w:val="20"/>
                <w:szCs w:val="20"/>
                <w:lang w:eastAsia="sk-SK"/>
              </w:rPr>
            </w:pPr>
            <w:r w:rsidRPr="00A156DD">
              <w:rPr>
                <w:sz w:val="20"/>
                <w:szCs w:val="20"/>
              </w:rPr>
              <w:t xml:space="preserve">Druh </w:t>
            </w:r>
            <w:r>
              <w:rPr>
                <w:sz w:val="20"/>
                <w:szCs w:val="20"/>
              </w:rPr>
              <w:t>v zmysle výsledkov sledovania stavu kvality vody v toku vyžaduje pre zachovanie stavu vyhovujúce výsledky v zmysle platných metodík na hodnotenie stavu kvality povrchových vôd</w:t>
            </w:r>
            <w:r w:rsidRPr="00A156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hyperlink r:id="rId4" w:history="1">
              <w:r w:rsidRPr="00747CD8">
                <w:rPr>
                  <w:rStyle w:val="Hypertextovprepojenie"/>
                  <w:sz w:val="20"/>
                  <w:szCs w:val="20"/>
                </w:rPr>
                <w:t>http://www.shmu.sk/sk/?page=1&amp;id=kvalita_povrchovych_vod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</w:tc>
      </w:tr>
    </w:tbl>
    <w:p w:rsidR="00347DA5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</w:p>
    <w:p w:rsidR="00347DA5" w:rsidRPr="00D02766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  <w:r>
        <w:rPr>
          <w:color w:val="000000"/>
        </w:rPr>
        <w:t xml:space="preserve">Cieľom ochrany je zlepšenie stavu druhu </w:t>
      </w:r>
      <w:proofErr w:type="spellStart"/>
      <w:r w:rsidRPr="00954ABB">
        <w:rPr>
          <w:b/>
          <w:i/>
        </w:rPr>
        <w:t>Cordulegaster</w:t>
      </w:r>
      <w:proofErr w:type="spellEnd"/>
      <w:r w:rsidRPr="00954ABB">
        <w:rPr>
          <w:b/>
          <w:i/>
        </w:rPr>
        <w:t xml:space="preserve"> </w:t>
      </w:r>
      <w:proofErr w:type="spellStart"/>
      <w:r w:rsidRPr="00954ABB">
        <w:rPr>
          <w:b/>
          <w:i/>
        </w:rPr>
        <w:t>heros</w:t>
      </w:r>
      <w:proofErr w:type="spellEnd"/>
      <w:r>
        <w:rPr>
          <w:b/>
          <w:i/>
        </w:rPr>
        <w:t xml:space="preserve"> </w:t>
      </w:r>
      <w:r>
        <w:rPr>
          <w:color w:val="000000"/>
        </w:rPr>
        <w:t>za splnenia nasledovných atribútov</w:t>
      </w:r>
      <w:r>
        <w:rPr>
          <w:b/>
          <w:color w:val="000000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1415"/>
        <w:gridCol w:w="1328"/>
        <w:gridCol w:w="4904"/>
      </w:tblGrid>
      <w:tr w:rsidR="00347DA5" w:rsidRPr="00652926" w:rsidTr="00EF3133">
        <w:trPr>
          <w:trHeight w:val="62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DA5" w:rsidRPr="00D80300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26A09">
              <w:rPr>
                <w:sz w:val="20"/>
                <w:szCs w:val="20"/>
                <w:lang w:eastAsia="sk-SK"/>
              </w:rPr>
              <w:t>Doplnkové informácie</w:t>
            </w:r>
          </w:p>
        </w:tc>
      </w:tr>
      <w:tr w:rsidR="00347DA5" w:rsidRPr="00652926" w:rsidTr="00EF3133">
        <w:trPr>
          <w:trHeight w:val="62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Počet jedincov (</w:t>
            </w:r>
            <w:proofErr w:type="spellStart"/>
            <w:r>
              <w:rPr>
                <w:sz w:val="20"/>
                <w:szCs w:val="20"/>
                <w:lang w:eastAsia="sk-SK"/>
              </w:rPr>
              <w:t>adult</w:t>
            </w:r>
            <w:proofErr w:type="spellEnd"/>
            <w:r>
              <w:rPr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Viac ako 200 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Udržiavaná veľkosť populácie, v súčasnosti odhadovaná</w:t>
            </w:r>
            <w:r w:rsidRPr="00652926">
              <w:rPr>
                <w:sz w:val="20"/>
                <w:szCs w:val="20"/>
                <w:lang w:eastAsia="sk-SK"/>
              </w:rPr>
              <w:t xml:space="preserve"> </w:t>
            </w:r>
            <w:r>
              <w:rPr>
                <w:sz w:val="20"/>
                <w:szCs w:val="20"/>
                <w:lang w:eastAsia="sk-SK"/>
              </w:rPr>
              <w:t xml:space="preserve">veľkosť populácie 50  až 250 </w:t>
            </w:r>
            <w:r w:rsidRPr="00652926">
              <w:rPr>
                <w:sz w:val="20"/>
                <w:szCs w:val="20"/>
                <w:lang w:eastAsia="sk-SK"/>
              </w:rPr>
              <w:t>jedincov (aktuál</w:t>
            </w:r>
            <w:r>
              <w:rPr>
                <w:sz w:val="20"/>
                <w:szCs w:val="20"/>
                <w:lang w:eastAsia="sk-SK"/>
              </w:rPr>
              <w:t>n</w:t>
            </w:r>
            <w:r w:rsidRPr="00652926">
              <w:rPr>
                <w:sz w:val="20"/>
                <w:szCs w:val="20"/>
                <w:lang w:eastAsia="sk-SK"/>
              </w:rPr>
              <w:t>y údaj / z SDF)</w:t>
            </w:r>
            <w:r>
              <w:rPr>
                <w:sz w:val="20"/>
                <w:szCs w:val="20"/>
                <w:lang w:eastAsia="sk-SK"/>
              </w:rPr>
              <w:t xml:space="preserve"> v závislosti od podmienok</w:t>
            </w:r>
          </w:p>
        </w:tc>
      </w:tr>
      <w:tr w:rsidR="00347DA5" w:rsidRPr="00652926" w:rsidTr="00EF3133">
        <w:trPr>
          <w:trHeight w:val="93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rozloha biotopu výskytu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 w:rsidRPr="00652926">
              <w:rPr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EF3133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133">
            <w:pPr>
              <w:jc w:val="both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Udržaná výmera lužných lesov</w:t>
            </w:r>
            <w:r w:rsidR="00EF3133">
              <w:rPr>
                <w:sz w:val="20"/>
                <w:szCs w:val="20"/>
                <w:lang w:eastAsia="sk-SK"/>
              </w:rPr>
              <w:t xml:space="preserve"> a brehových porastov v okolí vodných tokov.</w:t>
            </w:r>
            <w:bookmarkStart w:id="0" w:name="_GoBack"/>
            <w:bookmarkEnd w:id="0"/>
            <w:r>
              <w:rPr>
                <w:sz w:val="20"/>
                <w:szCs w:val="20"/>
                <w:lang w:eastAsia="sk-SK"/>
              </w:rPr>
              <w:t xml:space="preserve"> </w:t>
            </w:r>
          </w:p>
        </w:tc>
      </w:tr>
      <w:tr w:rsidR="00347DA5" w:rsidRPr="00652926" w:rsidTr="00EF3133">
        <w:trPr>
          <w:trHeight w:val="62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color w:val="000000"/>
                <w:sz w:val="18"/>
                <w:szCs w:val="18"/>
              </w:rPr>
              <w:t>Kvalita biotopu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Podiel toku v % s vyhovujúcimi podmienkami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DA5" w:rsidRPr="00652926" w:rsidRDefault="00347DA5" w:rsidP="00EF3711">
            <w:pPr>
              <w:jc w:val="center"/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>Viac ako 50 % toku s vyhovujúcimi podmienkami</w:t>
            </w:r>
          </w:p>
        </w:tc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A5" w:rsidRPr="00652926" w:rsidRDefault="00347DA5" w:rsidP="00EF3711">
            <w:pPr>
              <w:rPr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  <w:lang w:eastAsia="sk-SK"/>
              </w:rPr>
              <w:t xml:space="preserve">Úseky toku s výskytom piesčitého a jemne štrkovitého dna pre existenciu a vývoj lariev druhu a pobrežnou vegetáciou pre úkryt </w:t>
            </w:r>
            <w:proofErr w:type="spellStart"/>
            <w:r>
              <w:rPr>
                <w:sz w:val="20"/>
                <w:szCs w:val="20"/>
                <w:lang w:eastAsia="sk-SK"/>
              </w:rPr>
              <w:t>imág</w:t>
            </w:r>
            <w:proofErr w:type="spellEnd"/>
          </w:p>
        </w:tc>
      </w:tr>
      <w:tr w:rsidR="00347DA5" w:rsidRPr="00652926" w:rsidTr="00EF3133">
        <w:trPr>
          <w:trHeight w:val="620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Default="00347DA5" w:rsidP="00EF3711">
            <w:pPr>
              <w:jc w:val="center"/>
              <w:rPr>
                <w:color w:val="000000"/>
                <w:sz w:val="18"/>
                <w:szCs w:val="18"/>
              </w:rPr>
            </w:pPr>
            <w:r w:rsidRPr="00A156DD">
              <w:rPr>
                <w:sz w:val="20"/>
                <w:szCs w:val="20"/>
              </w:rPr>
              <w:t xml:space="preserve">Kvalita vody 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Monitoring kvality povrchových vôd (SHMU)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DA5" w:rsidRPr="00354686" w:rsidRDefault="00347DA5" w:rsidP="00EF371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vyhovujúce</w:t>
            </w:r>
            <w:r w:rsidRPr="00A156DD" w:rsidDel="008E1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DA5" w:rsidRPr="00775056" w:rsidRDefault="00347DA5" w:rsidP="00EF3711">
            <w:pPr>
              <w:rPr>
                <w:color w:val="000000"/>
                <w:sz w:val="18"/>
                <w:szCs w:val="18"/>
              </w:rPr>
            </w:pPr>
            <w:r w:rsidRPr="00A156DD">
              <w:rPr>
                <w:sz w:val="20"/>
                <w:szCs w:val="20"/>
              </w:rPr>
              <w:t xml:space="preserve">Druh </w:t>
            </w:r>
            <w:r>
              <w:rPr>
                <w:sz w:val="20"/>
                <w:szCs w:val="20"/>
              </w:rPr>
              <w:t>v zmysle výsledkov sledovania stavu kvality vody v toku vyžaduje pre zachovanie stavu vyhovujúce výsledky v zmysle platných metodík na hodnotenie stavu kvality povrchových vôd</w:t>
            </w:r>
            <w:r w:rsidRPr="00A156D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(</w:t>
            </w:r>
            <w:hyperlink r:id="rId5" w:history="1">
              <w:r w:rsidRPr="00747CD8">
                <w:rPr>
                  <w:rStyle w:val="Hypertextovprepojenie"/>
                  <w:sz w:val="20"/>
                  <w:szCs w:val="20"/>
                </w:rPr>
                <w:t>http://www.shmu.sk/sk/?page=1&amp;id=kvalita_povrchovych_vod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</w:tc>
      </w:tr>
    </w:tbl>
    <w:p w:rsidR="00347DA5" w:rsidRPr="00B57801" w:rsidRDefault="00347DA5" w:rsidP="00347DA5">
      <w:pPr>
        <w:pStyle w:val="Zkladntext"/>
        <w:widowControl w:val="0"/>
        <w:ind w:left="360"/>
        <w:jc w:val="both"/>
        <w:rPr>
          <w:b/>
          <w:i/>
        </w:rPr>
      </w:pP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A5"/>
    <w:rsid w:val="00347DA5"/>
    <w:rsid w:val="004F7434"/>
    <w:rsid w:val="00B25232"/>
    <w:rsid w:val="00E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3730"/>
  <w15:chartTrackingRefBased/>
  <w15:docId w15:val="{DDD6DDB1-CD53-4B09-AC41-7D86BDDE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7D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347DA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347DA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47D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hyperlink" Target="http://www.shmu.sk/sk/?page=1&amp;id=kvalita_povrchovych_vod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3</cp:revision>
  <dcterms:created xsi:type="dcterms:W3CDTF">2023-01-10T13:03:00Z</dcterms:created>
  <dcterms:modified xsi:type="dcterms:W3CDTF">2023-01-10T13:07:00Z</dcterms:modified>
</cp:coreProperties>
</file>