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6C6E26">
        <w:rPr>
          <w:rFonts w:ascii="Times New Roman" w:hAnsi="Times New Roman" w:cs="Times New Roman"/>
          <w:b/>
          <w:sz w:val="24"/>
          <w:szCs w:val="24"/>
        </w:rPr>
        <w:t>936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E26">
        <w:rPr>
          <w:rFonts w:ascii="Times New Roman" w:hAnsi="Times New Roman" w:cs="Times New Roman"/>
          <w:b/>
          <w:sz w:val="24"/>
          <w:szCs w:val="24"/>
        </w:rPr>
        <w:t>Horný tok Tople</w:t>
      </w:r>
      <w:r w:rsidR="00DF4687" w:rsidRPr="006C6E26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="00D71A97" w:rsidRPr="006C6E26">
        <w:rPr>
          <w:rFonts w:ascii="Times New Roman" w:hAnsi="Times New Roman" w:cs="Times New Roman"/>
          <w:b/>
          <w:vanish/>
          <w:sz w:val="24"/>
          <w:szCs w:val="24"/>
        </w:rPr>
        <w:t>Dubnícke bane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995DAD" w:rsidRDefault="00995DAD" w:rsidP="002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C0" w:rsidRPr="00775056" w:rsidRDefault="006C6E26" w:rsidP="00CF02C0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CF02C0" w:rsidRPr="00775056">
        <w:rPr>
          <w:b w:val="0"/>
          <w:color w:val="000000"/>
        </w:rPr>
        <w:t xml:space="preserve">stavu </w:t>
      </w:r>
      <w:r w:rsidR="00CF02C0">
        <w:rPr>
          <w:color w:val="000000"/>
        </w:rPr>
        <w:t>biotopu Ls1.3</w:t>
      </w:r>
      <w:r w:rsidR="00CF02C0" w:rsidRPr="00775056">
        <w:rPr>
          <w:color w:val="000000"/>
        </w:rPr>
        <w:t xml:space="preserve"> </w:t>
      </w:r>
      <w:r w:rsidR="00CF02C0" w:rsidRPr="00775056">
        <w:rPr>
          <w:bCs w:val="0"/>
          <w:color w:val="000000"/>
          <w:shd w:val="clear" w:color="auto" w:fill="FFFFFF"/>
        </w:rPr>
        <w:t>(</w:t>
      </w:r>
      <w:r w:rsidR="00CF02C0" w:rsidRPr="00775056">
        <w:rPr>
          <w:color w:val="000000"/>
          <w:lang w:eastAsia="sk-SK"/>
        </w:rPr>
        <w:t>91E0*</w:t>
      </w:r>
      <w:r w:rsidR="00CF02C0" w:rsidRPr="00775056">
        <w:rPr>
          <w:bCs w:val="0"/>
          <w:color w:val="000000"/>
          <w:shd w:val="clear" w:color="auto" w:fill="FFFFFF"/>
        </w:rPr>
        <w:t xml:space="preserve">) </w:t>
      </w:r>
      <w:r w:rsidR="00CF02C0">
        <w:rPr>
          <w:bCs w:val="0"/>
          <w:color w:val="000000"/>
          <w:shd w:val="clear" w:color="auto" w:fill="FFFFFF"/>
        </w:rPr>
        <w:t xml:space="preserve">Jaseňovo-jelšové podhorské </w:t>
      </w:r>
      <w:r w:rsidR="00CF02C0" w:rsidRPr="00775056">
        <w:rPr>
          <w:bCs w:val="0"/>
          <w:color w:val="000000"/>
          <w:shd w:val="clear" w:color="auto" w:fill="FFFFFF"/>
        </w:rPr>
        <w:t>lužné lesy</w:t>
      </w:r>
      <w:r w:rsidR="00CF02C0" w:rsidRPr="00775056">
        <w:rPr>
          <w:b w:val="0"/>
          <w:color w:val="000000"/>
        </w:rPr>
        <w:t xml:space="preserve"> </w:t>
      </w:r>
      <w:r w:rsidR="00780721">
        <w:rPr>
          <w:b w:val="0"/>
          <w:color w:val="000000"/>
        </w:rPr>
        <w:t xml:space="preserve">a </w:t>
      </w:r>
      <w:r w:rsidR="00780721" w:rsidRPr="00DF4687">
        <w:rPr>
          <w:b w:val="0"/>
          <w:color w:val="000000" w:themeColor="text1"/>
          <w:shd w:val="clear" w:color="auto" w:fill="FFFFFF"/>
        </w:rPr>
        <w:t xml:space="preserve">Ls1.4 </w:t>
      </w:r>
      <w:r w:rsidR="00780721" w:rsidRPr="00DF4687">
        <w:rPr>
          <w:bCs w:val="0"/>
          <w:color w:val="000000" w:themeColor="text1"/>
          <w:shd w:val="clear" w:color="auto" w:fill="FFFFFF"/>
        </w:rPr>
        <w:t>(</w:t>
      </w:r>
      <w:r w:rsidR="00780721" w:rsidRPr="00DF4687">
        <w:rPr>
          <w:color w:val="000000" w:themeColor="text1"/>
          <w:lang w:eastAsia="sk-SK"/>
        </w:rPr>
        <w:t>91E0*</w:t>
      </w:r>
      <w:r w:rsidR="00780721" w:rsidRPr="00DF4687">
        <w:rPr>
          <w:bCs w:val="0"/>
          <w:color w:val="000000" w:themeColor="text1"/>
          <w:shd w:val="clear" w:color="auto" w:fill="FFFFFF"/>
        </w:rPr>
        <w:t xml:space="preserve">) </w:t>
      </w:r>
      <w:r w:rsidR="00780721" w:rsidRPr="00DF4687">
        <w:rPr>
          <w:color w:val="000000" w:themeColor="text1"/>
          <w:shd w:val="clear" w:color="auto" w:fill="FFFFFF"/>
        </w:rPr>
        <w:t>Horské jelšové lužné lesy</w:t>
      </w:r>
      <w:r w:rsidR="00DF4687">
        <w:rPr>
          <w:color w:val="000000" w:themeColor="text1"/>
          <w:shd w:val="clear" w:color="auto" w:fill="FFFFFF"/>
        </w:rPr>
        <w:t xml:space="preserve"> </w:t>
      </w:r>
      <w:r w:rsidR="00CF02C0" w:rsidRPr="00775056">
        <w:rPr>
          <w:b w:val="0"/>
          <w:color w:val="000000"/>
        </w:rPr>
        <w:t>za splnenia nasledovných atribútov</w:t>
      </w:r>
      <w:r w:rsidR="00CF02C0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276"/>
        <w:gridCol w:w="1134"/>
        <w:gridCol w:w="5119"/>
        <w:gridCol w:w="9"/>
      </w:tblGrid>
      <w:tr w:rsidR="00CF02C0" w:rsidRPr="0000010E" w:rsidTr="002A4AEE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F02C0" w:rsidRPr="0000010E" w:rsidTr="002A4AEE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6C6E2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C0" w:rsidRPr="00775056" w:rsidRDefault="00CF02C0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F02C0" w:rsidRPr="0000010E" w:rsidTr="002A4AEE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DF4687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CF02C0" w:rsidRPr="00DF4687" w:rsidRDefault="00CF02C0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platanoides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pseudoplatanus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Alnus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glutinosa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incana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Carpinus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betulus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  <w:r w:rsidRPr="00DF468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Fraxinus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excelsior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Padus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avium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Picea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abies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&lt;5%</w:t>
            </w:r>
            <w:r w:rsidR="003968BE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Salix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alba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caprea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S.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fragilis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Sorbus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aucuparia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Tilia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cordata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&lt;5%,,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Ulmus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glabra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U.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laevis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U.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minor</w:t>
            </w:r>
            <w:proofErr w:type="spellEnd"/>
          </w:p>
          <w:p w:rsidR="00780721" w:rsidRPr="00DF4687" w:rsidRDefault="00780721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Corylus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avellana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Ribes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uva-crispa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Salix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purpurea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Sambucus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nigra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Viburnum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opulus</w:t>
            </w:r>
            <w:proofErr w:type="spellEnd"/>
          </w:p>
          <w:p w:rsidR="00780721" w:rsidRPr="00DF4687" w:rsidRDefault="00780721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Potreba </w:t>
            </w:r>
            <w:proofErr w:type="spellStart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zmapovaania</w:t>
            </w:r>
            <w:proofErr w:type="spellEnd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obidvoch biotopov.</w:t>
            </w:r>
          </w:p>
        </w:tc>
      </w:tr>
      <w:tr w:rsidR="00CF02C0" w:rsidRPr="0000010E" w:rsidTr="002A4AEE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DF4687" w:rsidRDefault="00CF02C0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CF02C0" w:rsidRPr="00DF4687" w:rsidRDefault="00CF02C0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Aegopodium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podagraria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Astrantia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major,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Caltha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palustris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Cardamine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amara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Carex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remota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Chaerophylum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hirsutum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Chrysosplenium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alternifolium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Circaea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intermedia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Cirsium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oleraceum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Crepis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paludosa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Equisetum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sylvaticum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Ficaria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bulbifera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Filipendula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ulmaria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Geum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rivale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Glechoma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hederacea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Lamium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maculatum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Lysimachia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nemorum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Myosotis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scorpioides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agg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., Primula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elatior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Rubus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Stachys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sylvatica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Stellaria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nemorum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Urtica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dioica</w:t>
            </w:r>
            <w:proofErr w:type="spellEnd"/>
          </w:p>
        </w:tc>
      </w:tr>
      <w:tr w:rsidR="00CF02C0" w:rsidRPr="0000010E" w:rsidTr="002A4AE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0721" w:rsidRPr="00DF4687" w:rsidRDefault="00780721" w:rsidP="00DF46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 druhov drevín v biotope (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pseudoacacia</w:t>
            </w:r>
            <w:proofErr w:type="spellEnd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bylín (</w:t>
            </w:r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sp.,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I.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parviflora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80FC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Helianthus</w:t>
            </w:r>
            <w:proofErr w:type="spellEnd"/>
            <w:r w:rsidR="00680FC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80FC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tuberos</w:t>
            </w:r>
            <w:bookmarkStart w:id="0" w:name="_GoBack"/>
            <w:bookmarkEnd w:id="0"/>
            <w:r w:rsidR="00680FC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us</w:t>
            </w:r>
            <w:proofErr w:type="spellEnd"/>
            <w:r w:rsidR="00680FC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canadensis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annuua</w:t>
            </w:r>
            <w:proofErr w:type="spellEnd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CF02C0" w:rsidRPr="0000010E" w:rsidTr="00DF4687">
        <w:trPr>
          <w:gridAfter w:val="1"/>
          <w:wAfter w:w="9" w:type="dxa"/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2C0" w:rsidRPr="00DF4687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Zabezpečenie prítomnosti odumretého dreva na ploche biotopu v danom objeme.</w:t>
            </w:r>
          </w:p>
          <w:p w:rsidR="00CF02C0" w:rsidRPr="00DF4687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2C0" w:rsidRPr="0000010E" w:rsidTr="002A4AE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02C0" w:rsidRPr="00775056" w:rsidRDefault="00CF02C0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UEV a v jeho bezprostrednom okolí</w:t>
            </w:r>
          </w:p>
        </w:tc>
        <w:tc>
          <w:tcPr>
            <w:tcW w:w="51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02C0" w:rsidRPr="00775056" w:rsidRDefault="00CF02C0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:rsidR="00CF02C0" w:rsidRDefault="00CF02C0" w:rsidP="00AB0201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</w:rPr>
      </w:pPr>
    </w:p>
    <w:p w:rsidR="008A7160" w:rsidRDefault="008A7160" w:rsidP="008A716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Br6 (6430) Brehové porasty deväťsilov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276"/>
        <w:gridCol w:w="5245"/>
      </w:tblGrid>
      <w:tr w:rsidR="008A7160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8A7160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8A7160" w:rsidRPr="0000010E" w:rsidTr="002A4AEE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DF4687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DF4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8A7160" w:rsidRPr="00DF4687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DF4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Lk5: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Alopecurus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Aegopodiu</w:t>
            </w:r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podagraria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Pr="00DF4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Angelica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sylvestris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Caltha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palustris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Carduus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personata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Cirsium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oleracium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paludosa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Chaerophyllum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hirsutum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Filipendula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ulmaria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Geranium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palustre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Lysimachia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Lythrum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salicaria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Mentha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longifolia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Phragmites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australis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lastRenderedPageBreak/>
              <w:t>Pseudolysimachion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longifolium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 </w:t>
            </w:r>
          </w:p>
          <w:p w:rsidR="008A7160" w:rsidRPr="00DF4687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Br6: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Aegopodium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podagraria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Angelica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sylvestris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Carduus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personata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Chaerophyllum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aromaticum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Chaerophyllum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hirsutum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Geranium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phaeum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Geum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rivale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Cirsium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oleraceum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paludosa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Chrysosplenium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alternifolium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Myosotis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scorpioides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Orobanche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flava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Petasites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albus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Petasites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hybridus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Petasites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kablikianus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trivialis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Primula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elatior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Roegneria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canina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Rumex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alpinus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Stellaria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nemorum</w:t>
            </w:r>
            <w:proofErr w:type="spellEnd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8A7160" w:rsidRPr="0000010E" w:rsidTr="002A4AE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8A7160" w:rsidRPr="0000010E" w:rsidTr="002A4AE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775056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60" w:rsidRPr="00DF4687" w:rsidRDefault="008A7160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DF4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Minimálne zastúpenie nepôvodných a sukcesných druhov</w:t>
            </w:r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Impatie</w:t>
            </w:r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ns</w:t>
            </w:r>
            <w:proofErr w:type="spellEnd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glandulifera</w:t>
            </w:r>
            <w:proofErr w:type="spellEnd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I. </w:t>
            </w:r>
            <w:proofErr w:type="spellStart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parviflora</w:t>
            </w:r>
            <w:proofErr w:type="spellEnd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canadensis</w:t>
            </w:r>
            <w:proofErr w:type="spellEnd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80721" w:rsidRPr="00DF46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annuua</w:t>
            </w:r>
            <w:proofErr w:type="spellEnd"/>
            <w:r w:rsidR="00780721" w:rsidRPr="00DF46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</w:tbl>
    <w:p w:rsidR="000C5F26" w:rsidRDefault="000C5F26" w:rsidP="001A4FD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B090E" w:rsidRPr="004451E9" w:rsidRDefault="001B090E" w:rsidP="001B090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Vertigo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angustior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/>
      </w:tblPr>
      <w:tblGrid>
        <w:gridCol w:w="1137"/>
        <w:gridCol w:w="1307"/>
        <w:gridCol w:w="2065"/>
        <w:gridCol w:w="5398"/>
      </w:tblGrid>
      <w:tr w:rsidR="001B090E" w:rsidRPr="00EF1797" w:rsidTr="002A4AEE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B090E" w:rsidRPr="00EF1797" w:rsidTr="002A4AEE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1B0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1B0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1B0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definovaná na základe monitoringu stavu populácie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BD3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Odhadovaná </w:t>
            </w: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hodnota veľkosti populácie 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území </w:t>
            </w:r>
            <w:r w:rsidR="00BD3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  <w:r w:rsidR="00BD3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jedincov, je potrebný monitoring stavu populácie.</w:t>
            </w:r>
          </w:p>
        </w:tc>
      </w:tr>
      <w:tr w:rsidR="001B090E" w:rsidRPr="00EF1797" w:rsidTr="002A4AEE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90E" w:rsidRPr="00EF1797" w:rsidRDefault="001B090E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priemer populácie na trvalej monitorovacej ploche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90E" w:rsidRPr="00EF1797" w:rsidRDefault="001B090E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vo vzorke na monitorovacej lokalite získaných z 12 litrov povrchovej vrstvy pôdu a vegetácie na povrchu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bude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upresnený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základe podrobného monitoringu stavu populácie.</w:t>
            </w:r>
          </w:p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B090E" w:rsidRPr="00EF1797" w:rsidTr="002A4AEE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definovaná na základe monitoringu stavu populácie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0E" w:rsidRPr="00EF1797" w:rsidRDefault="001B090E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 zistení rozsahu výskytu druhu za základe monitoringu, bude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potebné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biotop druhu </w:t>
            </w:r>
          </w:p>
        </w:tc>
      </w:tr>
    </w:tbl>
    <w:p w:rsidR="001B090E" w:rsidRDefault="001B090E" w:rsidP="001B090E">
      <w:pPr>
        <w:pStyle w:val="Zkladntext"/>
        <w:widowControl w:val="0"/>
        <w:spacing w:after="120"/>
        <w:jc w:val="both"/>
        <w:rPr>
          <w:b w:val="0"/>
        </w:rPr>
      </w:pPr>
    </w:p>
    <w:p w:rsidR="00BD38D3" w:rsidRPr="00624E56" w:rsidRDefault="00BD38D3" w:rsidP="00BD38D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 w:rsidRPr="00B901BE">
        <w:rPr>
          <w:i/>
        </w:rPr>
        <w:t>Sabanejewia</w:t>
      </w:r>
      <w:proofErr w:type="spellEnd"/>
      <w:r w:rsidRPr="00B901BE">
        <w:rPr>
          <w:i/>
        </w:rPr>
        <w:t xml:space="preserve"> </w:t>
      </w:r>
      <w:proofErr w:type="spellStart"/>
      <w:r w:rsidRPr="00B901BE">
        <w:rPr>
          <w:i/>
        </w:rPr>
        <w:t>balcanica</w:t>
      </w:r>
      <w:proofErr w:type="spellEnd"/>
      <w:r w:rsidRPr="00B901BE">
        <w:rPr>
          <w:i/>
        </w:rPr>
        <w:t xml:space="preserve"> (S. </w:t>
      </w:r>
      <w:proofErr w:type="spellStart"/>
      <w:r w:rsidRPr="00B901BE">
        <w:rPr>
          <w:i/>
        </w:rPr>
        <w:t>aurata</w:t>
      </w:r>
      <w:proofErr w:type="spellEnd"/>
      <w:r w:rsidRPr="00B901BE">
        <w:rPr>
          <w:i/>
        </w:rPr>
        <w:t xml:space="preserve">, S. </w:t>
      </w:r>
      <w:proofErr w:type="spellStart"/>
      <w:r w:rsidRPr="00B901BE">
        <w:rPr>
          <w:i/>
        </w:rPr>
        <w:t>bulgarica</w:t>
      </w:r>
      <w:proofErr w:type="spellEnd"/>
      <w:r w:rsidRPr="00B901BE">
        <w:rPr>
          <w:i/>
        </w:rPr>
        <w:t xml:space="preserve">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1843"/>
        <w:gridCol w:w="1134"/>
        <w:gridCol w:w="4111"/>
      </w:tblGrid>
      <w:tr w:rsidR="00BD38D3" w:rsidRPr="00B901BE" w:rsidTr="002A4AEE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091FE3" w:rsidRDefault="00BD38D3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091FE3" w:rsidRDefault="00BD38D3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091FE3" w:rsidRDefault="00BD38D3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091FE3" w:rsidRDefault="00BD38D3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FE3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BD38D3" w:rsidRPr="00B901BE" w:rsidTr="002A4AE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 200 - 500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BD38D3" w:rsidRPr="00B901BE" w:rsidTr="002A4AE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mikrohabitatov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druh preferujúci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prúdivejšie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úseky so štrkovo-kamenitým dnom a piesčitým dnom, do ktorého sa zahrabáva. </w:t>
            </w:r>
          </w:p>
        </w:tc>
      </w:tr>
      <w:tr w:rsidR="00BD38D3" w:rsidRPr="00B901BE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BD38D3" w:rsidRPr="00B901BE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A32EFF" w:rsidRDefault="00BD38D3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7A6B32" w:rsidRDefault="00BD38D3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DF4687" w:rsidRDefault="00DF4687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BF2E9D" w:rsidP="00DF468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 w:rsid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="00DF4687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BF2E9D" w:rsidRPr="00DF4687" w:rsidRDefault="00BF2E9D" w:rsidP="00BF2E9D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D38D3" w:rsidRPr="00B901BE" w:rsidTr="002A4AE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Pr="00B901BE" w:rsidRDefault="00BD38D3" w:rsidP="002A4AEE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8D3" w:rsidRDefault="00BD38D3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D38D3" w:rsidRPr="00B901BE" w:rsidRDefault="00BD38D3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BD38D3" w:rsidRDefault="00BD38D3" w:rsidP="001B090E">
      <w:pPr>
        <w:pStyle w:val="Zkladntext"/>
        <w:widowControl w:val="0"/>
        <w:spacing w:after="120"/>
        <w:jc w:val="both"/>
        <w:rPr>
          <w:b w:val="0"/>
        </w:rPr>
      </w:pPr>
    </w:p>
    <w:p w:rsidR="001B090E" w:rsidRDefault="001B090E" w:rsidP="001B090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</w:t>
      </w:r>
      <w:r w:rsidRPr="007720DF">
        <w:t xml:space="preserve">druhu </w:t>
      </w:r>
      <w:proofErr w:type="spellStart"/>
      <w:r>
        <w:rPr>
          <w:i/>
        </w:rPr>
        <w:t>Barbus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carpaticus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47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0"/>
        <w:gridCol w:w="1546"/>
        <w:gridCol w:w="1128"/>
        <w:gridCol w:w="4759"/>
      </w:tblGrid>
      <w:tr w:rsidR="001B090E" w:rsidRPr="00870D1F" w:rsidTr="00DF4687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870D1F" w:rsidRDefault="001B090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870D1F" w:rsidRDefault="001B090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870D1F" w:rsidRDefault="001B090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870D1F" w:rsidRDefault="001B090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1B090E" w:rsidRPr="001258AA" w:rsidTr="00DF4687">
        <w:trPr>
          <w:trHeight w:val="225"/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Min.2</w:t>
            </w:r>
          </w:p>
        </w:tc>
        <w:tc>
          <w:tcPr>
            <w:tcW w:w="4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početnosť 1000 až 2 000 jedincov. </w:t>
            </w:r>
          </w:p>
        </w:tc>
      </w:tr>
      <w:tr w:rsidR="001B090E" w:rsidRPr="001258AA" w:rsidTr="00DF4687">
        <w:trPr>
          <w:trHeight w:val="225"/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Zastúpenie vhodných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mezohabitatov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v hodnotenom úseku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reofilný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druh obývajúci dno menších až stredne veľkých podhorských riek. Preferuje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prúdivé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biotopy s tvrdým štrkovitým dnom. Dôležitá je preň dostatočná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hydromorfologická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členitosť toku, najmä zastúpenie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perejnatých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úsekov so štrkovými lavicami a tiahlymi prúdmi. </w:t>
            </w:r>
          </w:p>
        </w:tc>
      </w:tr>
      <w:tr w:rsidR="00DF4687" w:rsidRPr="001258AA" w:rsidTr="00DF4687">
        <w:trPr>
          <w:trHeight w:val="397"/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1258AA" w:rsidRDefault="00DF4687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7A6B32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090E" w:rsidRPr="001258AA" w:rsidTr="00DF4687">
        <w:trPr>
          <w:trHeight w:val="397"/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Pr="001258AA" w:rsidRDefault="001B090E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0E" w:rsidRDefault="001B090E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B090E" w:rsidRPr="001258AA" w:rsidRDefault="001B090E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B090E" w:rsidRDefault="001B090E" w:rsidP="001B090E">
      <w:pPr>
        <w:pStyle w:val="Zkladntext"/>
        <w:widowControl w:val="0"/>
        <w:spacing w:after="120"/>
        <w:jc w:val="both"/>
        <w:rPr>
          <w:b w:val="0"/>
        </w:rPr>
      </w:pPr>
    </w:p>
    <w:p w:rsidR="00BB4889" w:rsidRPr="004451E9" w:rsidRDefault="00BB4889" w:rsidP="00BB488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Cobitis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taenia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5"/>
        <w:gridCol w:w="1546"/>
        <w:gridCol w:w="1228"/>
        <w:gridCol w:w="4905"/>
      </w:tblGrid>
      <w:tr w:rsidR="00BB4889" w:rsidRPr="00870D1F" w:rsidTr="00DF4687">
        <w:trPr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89" w:rsidRPr="00870D1F" w:rsidRDefault="00BB488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89" w:rsidRPr="00870D1F" w:rsidRDefault="00BB488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89" w:rsidRPr="00870D1F" w:rsidRDefault="00BB488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89" w:rsidRPr="00870D1F" w:rsidRDefault="00BB4889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F2E9D" w:rsidRPr="00870D1F" w:rsidTr="00DF4687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DF4687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v hlavnom toku zastúpenie od 3000 do 10000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E9D" w:rsidRPr="00870D1F" w:rsidTr="00DF4687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vhodných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hodnotenom úseku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 na 1 km toku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prúdivé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plytké až stredne hlboké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BF2E9D" w:rsidRPr="00870D1F" w:rsidTr="00DF4687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Pokryvnosť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submerznej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a/alebo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litorálnej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vegetácie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korelovala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denzitou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vegetácie. Rastliny (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submerzné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makrofyty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alebo ich zvyšky sú dôležité, ako reprodukčný (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neresový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substrát. Podľa publikovaných zdrojov, druh využíva na reprodukciu aj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litorálnu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vegetáciu, napr.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BF2E9D" w:rsidRPr="00870D1F" w:rsidTr="00DF4687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nepôvodných a inváznych druhov rýb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ichtyocenóze</w:t>
            </w:r>
            <w:proofErr w:type="spellEnd"/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F4687" w:rsidRPr="00870D1F" w:rsidTr="00DF4687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870D1F" w:rsidRDefault="00DF4687" w:rsidP="00BF2E9D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7A6B32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F2E9D" w:rsidRPr="00870D1F" w:rsidTr="00DF4687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Pr="00870D1F" w:rsidRDefault="00BF2E9D" w:rsidP="00BF2E9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E9D" w:rsidRDefault="00BF2E9D" w:rsidP="00BF2E9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F2E9D" w:rsidRPr="00870D1F" w:rsidRDefault="00BF2E9D" w:rsidP="00BF2E9D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C6EC1" w:rsidRDefault="00CC6EC1" w:rsidP="00077C12">
      <w:pPr>
        <w:spacing w:line="240" w:lineRule="auto"/>
        <w:jc w:val="both"/>
        <w:rPr>
          <w:rFonts w:ascii="Times New Roman" w:hAnsi="Times New Roman" w:cs="Times New Roman"/>
        </w:rPr>
      </w:pPr>
    </w:p>
    <w:p w:rsidR="00A722B6" w:rsidRPr="00FA03B9" w:rsidRDefault="00A722B6" w:rsidP="00A722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kesleri</w:t>
      </w:r>
      <w:r w:rsidRPr="00FA03B9">
        <w:rPr>
          <w:i/>
        </w:rPr>
        <w:t>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2"/>
        <w:gridCol w:w="1654"/>
        <w:gridCol w:w="1417"/>
        <w:gridCol w:w="4073"/>
      </w:tblGrid>
      <w:tr w:rsidR="00A722B6" w:rsidRPr="00FA03B9" w:rsidTr="002A4AEE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0C0D5A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0C0D5A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0C0D5A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0C0D5A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A722B6" w:rsidRPr="00FA03B9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A722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10 – 50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A722B6" w:rsidRPr="00FA03B9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7720DF" w:rsidRDefault="00A722B6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Obnovu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biotopov je možné dosiahnuť revitalizáciou toku - prepojením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odrezaných meandrov a riečnych ramien.</w:t>
            </w:r>
          </w:p>
        </w:tc>
      </w:tr>
      <w:tr w:rsidR="00A722B6" w:rsidRPr="00FA03B9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A722B6" w:rsidRPr="00FA03B9" w:rsidTr="002A4AEE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7A6B32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:rsidR="00A722B6" w:rsidRPr="007A6B32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22B6" w:rsidRPr="00FA03B9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F4687" w:rsidRPr="00FA03B9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A32EFF" w:rsidRDefault="00DF4687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7A6B32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722B6" w:rsidRPr="00FA03B9" w:rsidTr="002A4AEE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FA03B9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Ipľa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722B6" w:rsidRPr="00FA03B9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722B6" w:rsidRDefault="00A722B6" w:rsidP="00A722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A722B6" w:rsidRPr="00FA03B9" w:rsidRDefault="00A722B6" w:rsidP="00A722B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vladykovi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9"/>
        <w:gridCol w:w="1412"/>
        <w:gridCol w:w="2080"/>
        <w:gridCol w:w="4206"/>
      </w:tblGrid>
      <w:tr w:rsidR="00A722B6" w:rsidRPr="00870D1F" w:rsidTr="00DF4687">
        <w:trPr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722B6" w:rsidRPr="00870D1F" w:rsidTr="00DF4687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 je 500 – 1000 jedincov</w:t>
            </w:r>
          </w:p>
        </w:tc>
      </w:tr>
      <w:tr w:rsidR="00A722B6" w:rsidRPr="00870D1F" w:rsidTr="00DF4687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vhodných mikro-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mezohabitatov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hodnotenom úseku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reofilný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 obývajúci dno podhorských tokov. Preferuje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prúdivé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biotopy s tvrdým štrkovitým dnom. Dôležité je preto najmä dostatočné zastúpenie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perejnatých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úsekov so štrkovými lavicami. </w:t>
            </w:r>
          </w:p>
        </w:tc>
      </w:tr>
      <w:tr w:rsidR="00A722B6" w:rsidRPr="00870D1F" w:rsidTr="00DF4687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nepôvodných a inváznych druhov rýb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DF4687" w:rsidRPr="00870D1F" w:rsidTr="00DF4687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870D1F" w:rsidRDefault="00DF4687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7A6B32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722B6" w:rsidRPr="00870D1F" w:rsidTr="00DF4687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Pr="00870D1F" w:rsidRDefault="00A722B6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2B6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Ipľa </w:t>
            </w: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12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722B6" w:rsidRPr="00870D1F" w:rsidRDefault="00A722B6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722B6" w:rsidRDefault="00A722B6" w:rsidP="00077C12">
      <w:pPr>
        <w:spacing w:line="240" w:lineRule="auto"/>
        <w:jc w:val="both"/>
        <w:rPr>
          <w:rFonts w:ascii="Times New Roman" w:hAnsi="Times New Roman" w:cs="Times New Roman"/>
        </w:rPr>
      </w:pPr>
    </w:p>
    <w:p w:rsidR="002B5FEC" w:rsidRPr="004451E9" w:rsidRDefault="002B5FEC" w:rsidP="002B5FEC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Zingel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streber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2"/>
        <w:gridCol w:w="2170"/>
        <w:gridCol w:w="1740"/>
        <w:gridCol w:w="4199"/>
      </w:tblGrid>
      <w:tr w:rsidR="002B5FEC" w:rsidRPr="00F71EF9" w:rsidTr="00DF4687">
        <w:trPr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C720A8" w:rsidRDefault="002B5FE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C720A8" w:rsidRDefault="002B5FE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C720A8" w:rsidRDefault="002B5FE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C720A8" w:rsidRDefault="002B5FEC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2B5FEC" w:rsidRPr="00F71EF9" w:rsidTr="00DF4687">
        <w:trPr>
          <w:trHeight w:val="225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200 – 400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FEC" w:rsidRPr="007A6B32" w:rsidTr="00DF4687">
        <w:trPr>
          <w:trHeight w:val="225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vhodných mikro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7A6B32" w:rsidRDefault="002B5FEC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Obnovu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biotopov je možné dosiahnuť revitalizáciou toku - prepojením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odrezaných meandrov a riečnych ramien.</w:t>
            </w:r>
          </w:p>
        </w:tc>
      </w:tr>
      <w:tr w:rsidR="002B5FEC" w:rsidRPr="00F71EF9" w:rsidTr="00DF4687">
        <w:trPr>
          <w:trHeight w:val="225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vyžadujú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perejnaté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2B5FEC" w:rsidRPr="00F71EF9" w:rsidTr="00DF4687">
        <w:trPr>
          <w:trHeight w:val="225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7A6B32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:rsidR="002B5FEC" w:rsidRPr="007A6B32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2B5FEC" w:rsidRPr="00F71EF9" w:rsidTr="00DF4687">
        <w:trPr>
          <w:trHeight w:val="397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F4687" w:rsidTr="00DF4687">
        <w:trPr>
          <w:trHeight w:val="397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A32EFF" w:rsidRDefault="00DF4687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7A6B32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Správca vodného toku eviduje na toku v ÚEV 1 migračnú bariéru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je potrebné jej odstránenie, </w:t>
            </w: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aby sa nebránilo migrácii druhu. </w:t>
            </w:r>
          </w:p>
          <w:p w:rsidR="00DF4687" w:rsidRPr="00DF4687" w:rsidRDefault="00DF4687" w:rsidP="00110EE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5FEC" w:rsidRPr="00F71EF9" w:rsidTr="00DF4687">
        <w:trPr>
          <w:trHeight w:val="397"/>
          <w:jc w:val="center"/>
        </w:trPr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F71EF9" w:rsidRDefault="002B5FEC" w:rsidP="002A4AE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EC" w:rsidRPr="00C720A8" w:rsidRDefault="002B5FEC" w:rsidP="002A4AE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720A8">
              <w:rPr>
                <w:rFonts w:ascii="Times New Roman" w:hAnsi="Times New Roman" w:cs="Times New Roman"/>
                <w:sz w:val="18"/>
                <w:szCs w:val="18"/>
              </w:rPr>
              <w:t>V zmysle výsledkov sledovani</w:t>
            </w:r>
            <w:r w:rsidR="00C069E7">
              <w:rPr>
                <w:rFonts w:ascii="Times New Roman" w:hAnsi="Times New Roman" w:cs="Times New Roman"/>
                <w:sz w:val="18"/>
                <w:szCs w:val="18"/>
              </w:rPr>
              <w:t>a stavu kvality vody v toku Tople</w:t>
            </w:r>
            <w:r w:rsidRPr="00C720A8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vyhovujúce v zmysle platných metodík na hodnotenie stavu kvality povrchových vôd. (</w:t>
            </w:r>
            <w:hyperlink r:id="rId13" w:history="1">
              <w:r w:rsidRPr="00C720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</w:t>
              </w:r>
            </w:hyperlink>
            <w:r w:rsidRPr="00C720A8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:rsidR="002B5FEC" w:rsidRDefault="002B5FEC" w:rsidP="002B5FEC">
      <w:pPr>
        <w:pStyle w:val="Zkladntext"/>
        <w:widowControl w:val="0"/>
        <w:spacing w:after="120"/>
        <w:jc w:val="both"/>
        <w:rPr>
          <w:b w:val="0"/>
        </w:rPr>
      </w:pPr>
    </w:p>
    <w:p w:rsidR="002B5FEC" w:rsidRPr="0081610B" w:rsidRDefault="002B5FEC" w:rsidP="002B5FEC">
      <w:pPr>
        <w:pStyle w:val="Zkladntext"/>
        <w:widowControl w:val="0"/>
        <w:jc w:val="left"/>
        <w:rPr>
          <w:b w:val="0"/>
        </w:rPr>
      </w:pPr>
      <w:r w:rsidRPr="0081610B">
        <w:rPr>
          <w:b w:val="0"/>
        </w:rPr>
        <w:t xml:space="preserve">Zlepšenie stavu druhu </w:t>
      </w:r>
      <w:proofErr w:type="spellStart"/>
      <w:r w:rsidRPr="0081610B">
        <w:rPr>
          <w:i/>
        </w:rPr>
        <w:t>Lutra</w:t>
      </w:r>
      <w:proofErr w:type="spellEnd"/>
      <w:r w:rsidRPr="0081610B">
        <w:rPr>
          <w:i/>
        </w:rPr>
        <w:t xml:space="preserve"> </w:t>
      </w:r>
      <w:proofErr w:type="spellStart"/>
      <w:r w:rsidRPr="0081610B">
        <w:rPr>
          <w:i/>
        </w:rPr>
        <w:t>lutra</w:t>
      </w:r>
      <w:proofErr w:type="spellEnd"/>
      <w:r w:rsidRPr="0081610B">
        <w:rPr>
          <w:b w:val="0"/>
          <w:i/>
        </w:rPr>
        <w:t xml:space="preserve"> </w:t>
      </w:r>
      <w:r w:rsidRPr="0081610B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843"/>
        <w:gridCol w:w="1418"/>
        <w:gridCol w:w="1701"/>
        <w:gridCol w:w="4252"/>
      </w:tblGrid>
      <w:tr w:rsidR="002B5FEC" w:rsidRPr="0081610B" w:rsidTr="002A4AE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2B5FEC" w:rsidRPr="0081610B" w:rsidTr="002A4AEE">
        <w:trPr>
          <w:trHeight w:val="66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zaznamena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né pobytové znaky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na 1 km úseku toku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E66327" w:rsidRDefault="002B5FEC" w:rsidP="002A4AEE">
            <w:pPr>
              <w:pStyle w:val="PredformtovanHTM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6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 území do 10 jedincov</w:t>
            </w:r>
          </w:p>
        </w:tc>
      </w:tr>
      <w:tr w:rsidR="002B5FEC" w:rsidRPr="0081610B" w:rsidTr="002A4AEE">
        <w:trPr>
          <w:trHeight w:val="69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DF4687" w:rsidRDefault="00C069E7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2B5FEC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km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DF4687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Lokalita poskytuje pomerne vhodné podmienky a bohato štruktúrované brehové porasty na celom území ÚEV.</w:t>
            </w:r>
          </w:p>
        </w:tc>
      </w:tr>
      <w:tr w:rsidR="002B5FEC" w:rsidRPr="0081610B" w:rsidTr="00BF2E9D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DF4687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DF4687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Umožnená migrácia druhu, bez zaznamenaných úhynov na cestných komunikáciách v okolí. V súčasnosti j</w:t>
            </w:r>
            <w:r w:rsidR="00004909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evidovaný</w:t>
            </w:r>
            <w:r w:rsidR="00C069E7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ročne približne 1 </w:t>
            </w:r>
            <w:proofErr w:type="spellStart"/>
            <w:r w:rsidR="00C069E7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uhyn</w:t>
            </w:r>
            <w:proofErr w:type="spellEnd"/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B5FEC" w:rsidRPr="0081610B" w:rsidTr="002A4AE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81610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5FEC" w:rsidRPr="0081610B" w:rsidRDefault="002B5FEC" w:rsidP="002A4AEE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C069E7">
              <w:rPr>
                <w:rFonts w:ascii="Times New Roman" w:hAnsi="Times New Roman" w:cs="Times New Roman"/>
                <w:sz w:val="18"/>
                <w:szCs w:val="18"/>
              </w:rPr>
              <w:t>tavu kvality vody v toku Tople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vyhovujúce v zmysle platných metodík na hodnotenie stavu kvality povrchových vôd (</w:t>
            </w:r>
            <w:hyperlink r:id="rId14" w:history="1">
              <w:r w:rsidRPr="0081610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:rsidR="002B5FEC" w:rsidRPr="0081610B" w:rsidRDefault="002B5FEC" w:rsidP="002B5FEC">
      <w:pPr>
        <w:pStyle w:val="Zkladntext"/>
        <w:widowControl w:val="0"/>
        <w:jc w:val="left"/>
        <w:rPr>
          <w:b w:val="0"/>
        </w:rPr>
      </w:pPr>
    </w:p>
    <w:p w:rsidR="002B5FEC" w:rsidRDefault="002B5FEC" w:rsidP="002B5FEC">
      <w:pPr>
        <w:pStyle w:val="Zkladntext"/>
        <w:widowControl w:val="0"/>
        <w:ind w:left="360"/>
        <w:jc w:val="both"/>
        <w:rPr>
          <w:b w:val="0"/>
          <w:i/>
        </w:rPr>
      </w:pPr>
    </w:p>
    <w:p w:rsidR="00D34E7B" w:rsidRPr="004451E9" w:rsidRDefault="00D34E7B" w:rsidP="00D34E7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proofErr w:type="spellStart"/>
      <w:r w:rsidR="00DB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="00DB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589" w:type="dxa"/>
        <w:tblInd w:w="-305" w:type="dxa"/>
        <w:tblCellMar>
          <w:left w:w="70" w:type="dxa"/>
          <w:right w:w="70" w:type="dxa"/>
        </w:tblCellMar>
        <w:tblLook w:val="04A0"/>
      </w:tblPr>
      <w:tblGrid>
        <w:gridCol w:w="1515"/>
        <w:gridCol w:w="1254"/>
        <w:gridCol w:w="1642"/>
        <w:gridCol w:w="5178"/>
      </w:tblGrid>
      <w:tr w:rsidR="00D34E7B" w:rsidRPr="0000010E" w:rsidTr="00DF4687">
        <w:trPr>
          <w:trHeight w:val="4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34E7B" w:rsidRPr="0000010E" w:rsidTr="00DF4687">
        <w:trPr>
          <w:trHeight w:val="8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8877FF" w:rsidP="00DB3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Viac ako </w:t>
            </w:r>
            <w:r w:rsidR="0007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  <w:r w:rsidR="00D34E7B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8877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</w:t>
            </w:r>
            <w:r w:rsidR="00F4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8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B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DB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–</w:t>
            </w:r>
            <w:r w:rsidR="00077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  <w:r w:rsidR="00CC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8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(údaj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 SDF), bude potrebný komplexnejší monitoring populácie druhu.</w:t>
            </w:r>
          </w:p>
        </w:tc>
      </w:tr>
      <w:tr w:rsidR="00D34E7B" w:rsidRPr="0000010E" w:rsidTr="00DF4687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DF4687" w:rsidRDefault="00C069E7" w:rsidP="00C069E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D34E7B" w:rsidRPr="0000010E" w:rsidTr="00DF4687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077C12" w:rsidRDefault="00077C12" w:rsidP="0025148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C054F" w:rsidRDefault="007C054F" w:rsidP="007C054F">
      <w:pPr>
        <w:pStyle w:val="Zkladntext"/>
        <w:widowControl w:val="0"/>
        <w:spacing w:after="120"/>
        <w:jc w:val="both"/>
      </w:pPr>
      <w:r>
        <w:rPr>
          <w:b w:val="0"/>
        </w:rPr>
        <w:t xml:space="preserve">Zlepšenie stavu druhu </w:t>
      </w:r>
      <w:proofErr w:type="spellStart"/>
      <w:r>
        <w:rPr>
          <w:i/>
        </w:rPr>
        <w:t>Castor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fiber</w:t>
      </w:r>
      <w:proofErr w:type="spellEnd"/>
      <w:r>
        <w:rPr>
          <w:i/>
        </w:rPr>
        <w:t xml:space="preserve"> </w:t>
      </w:r>
      <w:r w:rsidRPr="00510442">
        <w:rPr>
          <w:b w:val="0"/>
        </w:rPr>
        <w:t>za splnenia nasledovných atribútov.</w:t>
      </w:r>
    </w:p>
    <w:tbl>
      <w:tblPr>
        <w:tblW w:w="4968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246"/>
        <w:gridCol w:w="1356"/>
        <w:gridCol w:w="994"/>
        <w:gridCol w:w="4616"/>
      </w:tblGrid>
      <w:tr w:rsidR="007C054F" w:rsidRPr="000C51F5" w:rsidTr="002A4AEE">
        <w:tc>
          <w:tcPr>
            <w:tcW w:w="2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7C789F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7C789F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7C789F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7C789F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8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7C054F" w:rsidRPr="000C51F5" w:rsidTr="002A4AEE">
        <w:trPr>
          <w:trHeight w:val="435"/>
        </w:trPr>
        <w:tc>
          <w:tcPr>
            <w:tcW w:w="2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Populácia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je odhadovaná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1 - 10 jedincov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C054F" w:rsidRPr="000C51F5" w:rsidTr="002A4AEE">
        <w:tc>
          <w:tcPr>
            <w:tcW w:w="2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DF4687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C069E7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in. </w:t>
            </w:r>
            <w:r w:rsidR="00622D08" w:rsidRPr="00DF4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brehovými </w:t>
            </w:r>
            <w:proofErr w:type="spellStart"/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porastami</w:t>
            </w:r>
            <w:proofErr w:type="spellEnd"/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, tvorenými mäkkými listnáčmi, najmä topoľmi a vŕbami, resp. prirodzené brehové zárasty.</w:t>
            </w:r>
          </w:p>
        </w:tc>
      </w:tr>
      <w:tr w:rsidR="007C054F" w:rsidRPr="000C51F5" w:rsidTr="002A4AEE">
        <w:tc>
          <w:tcPr>
            <w:tcW w:w="2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– rozmnožovací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prechrádzok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hradov (zachovanie) </w:t>
            </w:r>
          </w:p>
        </w:tc>
        <w:tc>
          <w:tcPr>
            <w:tcW w:w="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54F" w:rsidRPr="000C51F5" w:rsidRDefault="007C054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:rsidR="00FB290B" w:rsidRDefault="00FB290B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FB290B" w:rsidSect="00EF2001">
      <w:footerReference w:type="default" r:id="rId15"/>
      <w:footerReference w:type="first" r:id="rId16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7E1B8E" w15:done="0"/>
  <w15:commentEx w15:paraId="1EED4B9E" w15:done="0"/>
  <w15:commentEx w15:paraId="769355F7" w15:done="0"/>
  <w15:commentEx w15:paraId="1138FDE7" w15:done="0"/>
  <w15:commentEx w15:paraId="52713154" w15:done="0"/>
  <w15:commentEx w15:paraId="56DF07AE" w15:done="0"/>
  <w15:commentEx w15:paraId="45368DB4" w15:done="0"/>
  <w15:commentEx w15:paraId="6A18C5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7D" w:rsidRDefault="000F397D" w:rsidP="009049B7">
      <w:pPr>
        <w:spacing w:line="240" w:lineRule="auto"/>
      </w:pPr>
      <w:r>
        <w:separator/>
      </w:r>
    </w:p>
  </w:endnote>
  <w:endnote w:type="continuationSeparator" w:id="0">
    <w:p w:rsidR="000F397D" w:rsidRDefault="000F397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742E79" w:rsidRDefault="00863B9F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DF4687">
          <w:rPr>
            <w:noProof/>
          </w:rPr>
          <w:t>6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742E79" w:rsidRDefault="00863B9F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DF4687">
          <w:rPr>
            <w:noProof/>
          </w:rPr>
          <w:t>1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7D" w:rsidRDefault="000F397D" w:rsidP="009049B7">
      <w:pPr>
        <w:spacing w:line="240" w:lineRule="auto"/>
      </w:pPr>
      <w:r>
        <w:separator/>
      </w:r>
    </w:p>
  </w:footnote>
  <w:footnote w:type="continuationSeparator" w:id="0">
    <w:p w:rsidR="000F397D" w:rsidRDefault="000F397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4909"/>
    <w:rsid w:val="000070AE"/>
    <w:rsid w:val="00020324"/>
    <w:rsid w:val="00021E39"/>
    <w:rsid w:val="0002231E"/>
    <w:rsid w:val="00022A74"/>
    <w:rsid w:val="00022D53"/>
    <w:rsid w:val="00024F35"/>
    <w:rsid w:val="000302C7"/>
    <w:rsid w:val="0003484F"/>
    <w:rsid w:val="00034AE7"/>
    <w:rsid w:val="000350FD"/>
    <w:rsid w:val="000503BA"/>
    <w:rsid w:val="00052428"/>
    <w:rsid w:val="000734D9"/>
    <w:rsid w:val="00076B95"/>
    <w:rsid w:val="00077C12"/>
    <w:rsid w:val="00081033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5F26"/>
    <w:rsid w:val="000C7FAA"/>
    <w:rsid w:val="000D3ACB"/>
    <w:rsid w:val="000D4C17"/>
    <w:rsid w:val="000D791E"/>
    <w:rsid w:val="000E1D92"/>
    <w:rsid w:val="000E2F7A"/>
    <w:rsid w:val="000E42C0"/>
    <w:rsid w:val="000E5829"/>
    <w:rsid w:val="000F03CD"/>
    <w:rsid w:val="000F08DC"/>
    <w:rsid w:val="000F0D30"/>
    <w:rsid w:val="000F140B"/>
    <w:rsid w:val="000F15B6"/>
    <w:rsid w:val="000F397D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3F36"/>
    <w:rsid w:val="001258AA"/>
    <w:rsid w:val="00127849"/>
    <w:rsid w:val="00142EC3"/>
    <w:rsid w:val="00146025"/>
    <w:rsid w:val="00153188"/>
    <w:rsid w:val="001556B3"/>
    <w:rsid w:val="00160335"/>
    <w:rsid w:val="00160435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A4FD7"/>
    <w:rsid w:val="001A7176"/>
    <w:rsid w:val="001B090E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0241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3138"/>
    <w:rsid w:val="00257424"/>
    <w:rsid w:val="00260D76"/>
    <w:rsid w:val="002654D3"/>
    <w:rsid w:val="002663F7"/>
    <w:rsid w:val="00266D06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A008D"/>
    <w:rsid w:val="002A0CBE"/>
    <w:rsid w:val="002A7164"/>
    <w:rsid w:val="002B3287"/>
    <w:rsid w:val="002B384F"/>
    <w:rsid w:val="002B3C46"/>
    <w:rsid w:val="002B4381"/>
    <w:rsid w:val="002B5FEC"/>
    <w:rsid w:val="002C27F0"/>
    <w:rsid w:val="002C77AF"/>
    <w:rsid w:val="002D311A"/>
    <w:rsid w:val="002E0B34"/>
    <w:rsid w:val="002E290D"/>
    <w:rsid w:val="002E7E41"/>
    <w:rsid w:val="002F2ED0"/>
    <w:rsid w:val="002F7329"/>
    <w:rsid w:val="002F7BBC"/>
    <w:rsid w:val="00304954"/>
    <w:rsid w:val="00310818"/>
    <w:rsid w:val="0031424B"/>
    <w:rsid w:val="00317655"/>
    <w:rsid w:val="00323F9C"/>
    <w:rsid w:val="003302C8"/>
    <w:rsid w:val="00342CE7"/>
    <w:rsid w:val="00344403"/>
    <w:rsid w:val="003452BA"/>
    <w:rsid w:val="00346369"/>
    <w:rsid w:val="00350F8D"/>
    <w:rsid w:val="003531BD"/>
    <w:rsid w:val="00354686"/>
    <w:rsid w:val="003564D4"/>
    <w:rsid w:val="00363901"/>
    <w:rsid w:val="00363C61"/>
    <w:rsid w:val="00366DB1"/>
    <w:rsid w:val="003715C5"/>
    <w:rsid w:val="00371953"/>
    <w:rsid w:val="003744B6"/>
    <w:rsid w:val="00374E77"/>
    <w:rsid w:val="003776EF"/>
    <w:rsid w:val="003808E5"/>
    <w:rsid w:val="0038260F"/>
    <w:rsid w:val="00384E08"/>
    <w:rsid w:val="00385C4A"/>
    <w:rsid w:val="0039393B"/>
    <w:rsid w:val="003968BE"/>
    <w:rsid w:val="003A2171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289F"/>
    <w:rsid w:val="004451E9"/>
    <w:rsid w:val="00445302"/>
    <w:rsid w:val="004502A3"/>
    <w:rsid w:val="00455620"/>
    <w:rsid w:val="00457868"/>
    <w:rsid w:val="00460393"/>
    <w:rsid w:val="0046690B"/>
    <w:rsid w:val="0047109F"/>
    <w:rsid w:val="00472424"/>
    <w:rsid w:val="004767B7"/>
    <w:rsid w:val="0047692D"/>
    <w:rsid w:val="00476CFD"/>
    <w:rsid w:val="00485650"/>
    <w:rsid w:val="0048574A"/>
    <w:rsid w:val="00485ED5"/>
    <w:rsid w:val="00493071"/>
    <w:rsid w:val="0049434F"/>
    <w:rsid w:val="004969DA"/>
    <w:rsid w:val="004A13B9"/>
    <w:rsid w:val="004A26A7"/>
    <w:rsid w:val="004B211F"/>
    <w:rsid w:val="004B4835"/>
    <w:rsid w:val="004B59B0"/>
    <w:rsid w:val="004C1BD8"/>
    <w:rsid w:val="004C5D19"/>
    <w:rsid w:val="004D1E90"/>
    <w:rsid w:val="004D37C8"/>
    <w:rsid w:val="004E6C10"/>
    <w:rsid w:val="004F232E"/>
    <w:rsid w:val="004F6CBA"/>
    <w:rsid w:val="005007DD"/>
    <w:rsid w:val="005059CB"/>
    <w:rsid w:val="00506BD5"/>
    <w:rsid w:val="00510707"/>
    <w:rsid w:val="0051339D"/>
    <w:rsid w:val="005147B4"/>
    <w:rsid w:val="00517AE3"/>
    <w:rsid w:val="00520691"/>
    <w:rsid w:val="00524740"/>
    <w:rsid w:val="00552897"/>
    <w:rsid w:val="00553C56"/>
    <w:rsid w:val="00555FDD"/>
    <w:rsid w:val="005573D9"/>
    <w:rsid w:val="00557752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4C58"/>
    <w:rsid w:val="005F7797"/>
    <w:rsid w:val="00602449"/>
    <w:rsid w:val="00606F2B"/>
    <w:rsid w:val="00613454"/>
    <w:rsid w:val="006176FE"/>
    <w:rsid w:val="00622104"/>
    <w:rsid w:val="00622D08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63636"/>
    <w:rsid w:val="00672750"/>
    <w:rsid w:val="00674DC0"/>
    <w:rsid w:val="006777EB"/>
    <w:rsid w:val="00680170"/>
    <w:rsid w:val="00680FC1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E26"/>
    <w:rsid w:val="006C6F84"/>
    <w:rsid w:val="006D4B21"/>
    <w:rsid w:val="006D5E23"/>
    <w:rsid w:val="006E2639"/>
    <w:rsid w:val="006E58A2"/>
    <w:rsid w:val="006F30F9"/>
    <w:rsid w:val="007015D4"/>
    <w:rsid w:val="00707499"/>
    <w:rsid w:val="0071487B"/>
    <w:rsid w:val="00716B24"/>
    <w:rsid w:val="00716BD7"/>
    <w:rsid w:val="00717BAE"/>
    <w:rsid w:val="00722E6A"/>
    <w:rsid w:val="00727610"/>
    <w:rsid w:val="00731313"/>
    <w:rsid w:val="00731CAD"/>
    <w:rsid w:val="00735411"/>
    <w:rsid w:val="00736E27"/>
    <w:rsid w:val="00740E55"/>
    <w:rsid w:val="00741E42"/>
    <w:rsid w:val="00742E79"/>
    <w:rsid w:val="00750EE8"/>
    <w:rsid w:val="00754170"/>
    <w:rsid w:val="00754F13"/>
    <w:rsid w:val="00756E6F"/>
    <w:rsid w:val="00761A31"/>
    <w:rsid w:val="007657C5"/>
    <w:rsid w:val="00766B5F"/>
    <w:rsid w:val="00767DD6"/>
    <w:rsid w:val="00775056"/>
    <w:rsid w:val="00780721"/>
    <w:rsid w:val="00780DFB"/>
    <w:rsid w:val="00781768"/>
    <w:rsid w:val="007823C5"/>
    <w:rsid w:val="007854DF"/>
    <w:rsid w:val="007901B1"/>
    <w:rsid w:val="00791978"/>
    <w:rsid w:val="007920A8"/>
    <w:rsid w:val="00796656"/>
    <w:rsid w:val="007A328E"/>
    <w:rsid w:val="007B1022"/>
    <w:rsid w:val="007B1AD9"/>
    <w:rsid w:val="007B4FB4"/>
    <w:rsid w:val="007C054F"/>
    <w:rsid w:val="007C14EF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0789"/>
    <w:rsid w:val="00823900"/>
    <w:rsid w:val="0082510D"/>
    <w:rsid w:val="008341E1"/>
    <w:rsid w:val="008343C9"/>
    <w:rsid w:val="00836ADE"/>
    <w:rsid w:val="00844D5D"/>
    <w:rsid w:val="008451CF"/>
    <w:rsid w:val="008606FF"/>
    <w:rsid w:val="00863B9F"/>
    <w:rsid w:val="00867CB1"/>
    <w:rsid w:val="00872553"/>
    <w:rsid w:val="008732A5"/>
    <w:rsid w:val="008740A9"/>
    <w:rsid w:val="00886EBF"/>
    <w:rsid w:val="00887101"/>
    <w:rsid w:val="00887580"/>
    <w:rsid w:val="008877FF"/>
    <w:rsid w:val="00891E37"/>
    <w:rsid w:val="00891FD6"/>
    <w:rsid w:val="00894F91"/>
    <w:rsid w:val="008A0A90"/>
    <w:rsid w:val="008A37C1"/>
    <w:rsid w:val="008A7160"/>
    <w:rsid w:val="008B115B"/>
    <w:rsid w:val="008B17A5"/>
    <w:rsid w:val="008B21D2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35FB"/>
    <w:rsid w:val="009447B4"/>
    <w:rsid w:val="009473DF"/>
    <w:rsid w:val="00951614"/>
    <w:rsid w:val="00953D1C"/>
    <w:rsid w:val="00954F9C"/>
    <w:rsid w:val="00956323"/>
    <w:rsid w:val="009571F2"/>
    <w:rsid w:val="009614A8"/>
    <w:rsid w:val="00961F3E"/>
    <w:rsid w:val="00962279"/>
    <w:rsid w:val="00965DC5"/>
    <w:rsid w:val="00990354"/>
    <w:rsid w:val="00991558"/>
    <w:rsid w:val="00993050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9F4AB6"/>
    <w:rsid w:val="00A14783"/>
    <w:rsid w:val="00A1487C"/>
    <w:rsid w:val="00A156DD"/>
    <w:rsid w:val="00A17209"/>
    <w:rsid w:val="00A22209"/>
    <w:rsid w:val="00A31857"/>
    <w:rsid w:val="00A374F5"/>
    <w:rsid w:val="00A455BC"/>
    <w:rsid w:val="00A46470"/>
    <w:rsid w:val="00A5106B"/>
    <w:rsid w:val="00A536A0"/>
    <w:rsid w:val="00A60D7C"/>
    <w:rsid w:val="00A617FF"/>
    <w:rsid w:val="00A672D8"/>
    <w:rsid w:val="00A71895"/>
    <w:rsid w:val="00A722B6"/>
    <w:rsid w:val="00A86869"/>
    <w:rsid w:val="00A97B45"/>
    <w:rsid w:val="00AA7ABF"/>
    <w:rsid w:val="00AB0201"/>
    <w:rsid w:val="00AB2083"/>
    <w:rsid w:val="00AC1A64"/>
    <w:rsid w:val="00AC2AC0"/>
    <w:rsid w:val="00AC3751"/>
    <w:rsid w:val="00AC77FB"/>
    <w:rsid w:val="00AD0193"/>
    <w:rsid w:val="00AD3455"/>
    <w:rsid w:val="00AD4D39"/>
    <w:rsid w:val="00AE0529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6DB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40F91"/>
    <w:rsid w:val="00B55025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2EDF"/>
    <w:rsid w:val="00BB3162"/>
    <w:rsid w:val="00BB4889"/>
    <w:rsid w:val="00BB4BFD"/>
    <w:rsid w:val="00BB6404"/>
    <w:rsid w:val="00BC1AA8"/>
    <w:rsid w:val="00BC230F"/>
    <w:rsid w:val="00BC2408"/>
    <w:rsid w:val="00BC7E07"/>
    <w:rsid w:val="00BD38D3"/>
    <w:rsid w:val="00BD5B6E"/>
    <w:rsid w:val="00BD6497"/>
    <w:rsid w:val="00BD687E"/>
    <w:rsid w:val="00BD6C68"/>
    <w:rsid w:val="00BE3E35"/>
    <w:rsid w:val="00BE7508"/>
    <w:rsid w:val="00BE770C"/>
    <w:rsid w:val="00BF167C"/>
    <w:rsid w:val="00BF17D6"/>
    <w:rsid w:val="00BF2E9D"/>
    <w:rsid w:val="00C01360"/>
    <w:rsid w:val="00C04BBF"/>
    <w:rsid w:val="00C069E7"/>
    <w:rsid w:val="00C10D28"/>
    <w:rsid w:val="00C178FF"/>
    <w:rsid w:val="00C20D29"/>
    <w:rsid w:val="00C31382"/>
    <w:rsid w:val="00C31631"/>
    <w:rsid w:val="00C320B8"/>
    <w:rsid w:val="00C329BB"/>
    <w:rsid w:val="00C36ADC"/>
    <w:rsid w:val="00C41BF5"/>
    <w:rsid w:val="00C448C0"/>
    <w:rsid w:val="00C44C9D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C6EC1"/>
    <w:rsid w:val="00CD2584"/>
    <w:rsid w:val="00CF02C0"/>
    <w:rsid w:val="00CF05D6"/>
    <w:rsid w:val="00CF0E9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34E7B"/>
    <w:rsid w:val="00D407E7"/>
    <w:rsid w:val="00D42108"/>
    <w:rsid w:val="00D63747"/>
    <w:rsid w:val="00D67A86"/>
    <w:rsid w:val="00D71A97"/>
    <w:rsid w:val="00D71C47"/>
    <w:rsid w:val="00D74DEC"/>
    <w:rsid w:val="00D82392"/>
    <w:rsid w:val="00D830B0"/>
    <w:rsid w:val="00D839A8"/>
    <w:rsid w:val="00D91217"/>
    <w:rsid w:val="00D92646"/>
    <w:rsid w:val="00DA527B"/>
    <w:rsid w:val="00DA5BD4"/>
    <w:rsid w:val="00DB33CC"/>
    <w:rsid w:val="00DB6F8A"/>
    <w:rsid w:val="00DC3906"/>
    <w:rsid w:val="00DC4EAA"/>
    <w:rsid w:val="00DC5BBC"/>
    <w:rsid w:val="00DC746C"/>
    <w:rsid w:val="00DD30E6"/>
    <w:rsid w:val="00DD7BDA"/>
    <w:rsid w:val="00DE087B"/>
    <w:rsid w:val="00DE65BE"/>
    <w:rsid w:val="00DF4687"/>
    <w:rsid w:val="00DF58DF"/>
    <w:rsid w:val="00DF67B7"/>
    <w:rsid w:val="00E030F1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890"/>
    <w:rsid w:val="00E715A1"/>
    <w:rsid w:val="00E726B7"/>
    <w:rsid w:val="00E72E84"/>
    <w:rsid w:val="00E72F2F"/>
    <w:rsid w:val="00E7592A"/>
    <w:rsid w:val="00E76188"/>
    <w:rsid w:val="00E8361C"/>
    <w:rsid w:val="00E83620"/>
    <w:rsid w:val="00E846AE"/>
    <w:rsid w:val="00E93C91"/>
    <w:rsid w:val="00E95553"/>
    <w:rsid w:val="00EA037A"/>
    <w:rsid w:val="00EA4664"/>
    <w:rsid w:val="00EA781E"/>
    <w:rsid w:val="00EB1BEA"/>
    <w:rsid w:val="00EB60B1"/>
    <w:rsid w:val="00EB7EA0"/>
    <w:rsid w:val="00EC1761"/>
    <w:rsid w:val="00EC667E"/>
    <w:rsid w:val="00ED2F91"/>
    <w:rsid w:val="00ED427A"/>
    <w:rsid w:val="00ED4F90"/>
    <w:rsid w:val="00EE0215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188C"/>
    <w:rsid w:val="00F444C9"/>
    <w:rsid w:val="00F44D3E"/>
    <w:rsid w:val="00F5431E"/>
    <w:rsid w:val="00F56C80"/>
    <w:rsid w:val="00F625B9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290B"/>
    <w:rsid w:val="00FB34EF"/>
    <w:rsid w:val="00FB7189"/>
    <w:rsid w:val="00FC69DF"/>
    <w:rsid w:val="00FD64EA"/>
    <w:rsid w:val="00FD7691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69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hyperlink" Target="http://www.shmu.sk/File/Hydrologia/Monitoring_PV_PzV/Monitoring_kvality_P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mu.sk/File/Hydrologia/Monitoring_PV_PzV/Monitoring_kvality_P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File/Hydrologia/Monitoring_PV_PzV/Monitoring_kvality_PV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hyperlink" Target="http://www.shmu.sk/sk/?page=1&amp;id=kvalita_povrchovych_vod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9DAF-A7E4-46B7-BDA3-61C3D327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2024-02-13T14:25:00Z</dcterms:created>
  <dcterms:modified xsi:type="dcterms:W3CDTF">2024-02-13T14:25:00Z</dcterms:modified>
</cp:coreProperties>
</file>