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688CB5E1" w:rsidR="002822A5" w:rsidRDefault="002822A5" w:rsidP="000F14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3378D8">
        <w:rPr>
          <w:rFonts w:ascii="Times New Roman" w:hAnsi="Times New Roman" w:cs="Times New Roman"/>
          <w:b/>
          <w:sz w:val="24"/>
          <w:szCs w:val="24"/>
        </w:rPr>
        <w:t xml:space="preserve">921 </w:t>
      </w:r>
      <w:proofErr w:type="spellStart"/>
      <w:r w:rsidR="003378D8">
        <w:rPr>
          <w:rFonts w:ascii="Times New Roman" w:hAnsi="Times New Roman" w:cs="Times New Roman"/>
          <w:b/>
          <w:sz w:val="24"/>
          <w:szCs w:val="24"/>
        </w:rPr>
        <w:t>Meliatsky</w:t>
      </w:r>
      <w:proofErr w:type="spellEnd"/>
      <w:r w:rsidR="003378D8">
        <w:rPr>
          <w:rFonts w:ascii="Times New Roman" w:hAnsi="Times New Roman" w:cs="Times New Roman"/>
          <w:b/>
          <w:sz w:val="24"/>
          <w:szCs w:val="24"/>
        </w:rPr>
        <w:t xml:space="preserve"> profil</w:t>
      </w:r>
    </w:p>
    <w:p w14:paraId="21BD4E99" w14:textId="77777777" w:rsidR="002822A5" w:rsidRPr="00EB1BEA" w:rsidRDefault="002822A5" w:rsidP="000F140B">
      <w:pPr>
        <w:spacing w:line="240" w:lineRule="auto"/>
        <w:rPr>
          <w:rFonts w:ascii="Times New Roman" w:hAnsi="Times New Roman" w:cs="Times New Roman"/>
          <w:b/>
          <w:color w:val="4472C4"/>
          <w:sz w:val="24"/>
          <w:szCs w:val="24"/>
        </w:rPr>
      </w:pPr>
    </w:p>
    <w:p w14:paraId="767D0C8F" w14:textId="206520B7" w:rsidR="002822A5" w:rsidRDefault="002822A5" w:rsidP="000F1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ochrany:</w:t>
      </w:r>
    </w:p>
    <w:p w14:paraId="62A4D190" w14:textId="77777777" w:rsidR="003378D8" w:rsidRDefault="003378D8" w:rsidP="000F1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9991C8" w14:textId="77777777" w:rsidR="003378D8" w:rsidRDefault="003378D8" w:rsidP="003378D8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Pi5 (611</w:t>
      </w:r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Pionierske porasty na plytkých karbonátových a bázických substrátoch zväzu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Alysso-Sedion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albi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508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418"/>
        <w:gridCol w:w="4678"/>
      </w:tblGrid>
      <w:tr w:rsidR="003378D8" w:rsidRPr="00C92F0B" w14:paraId="5EAEEFF7" w14:textId="77777777" w:rsidTr="00AA29D9">
        <w:trPr>
          <w:trHeight w:val="29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6750D" w14:textId="77777777" w:rsidR="003378D8" w:rsidRPr="00C92F0B" w:rsidRDefault="003378D8" w:rsidP="0051042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53C07" w14:textId="77777777" w:rsidR="003378D8" w:rsidRPr="00C92F0B" w:rsidRDefault="003378D8" w:rsidP="0051042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CBD3F" w14:textId="77777777" w:rsidR="003378D8" w:rsidRPr="00C92F0B" w:rsidRDefault="003378D8" w:rsidP="005104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F885" w14:textId="77777777" w:rsidR="003378D8" w:rsidRPr="00C92F0B" w:rsidRDefault="003378D8" w:rsidP="0051042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3378D8" w:rsidRPr="00C92F0B" w14:paraId="2157FF4C" w14:textId="77777777" w:rsidTr="00AA29D9">
        <w:trPr>
          <w:trHeight w:val="29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B4EA" w14:textId="77777777" w:rsidR="003378D8" w:rsidRPr="00C92F0B" w:rsidRDefault="003378D8" w:rsidP="005104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5B36" w14:textId="77777777" w:rsidR="003378D8" w:rsidRPr="00C92F0B" w:rsidRDefault="003378D8" w:rsidP="005104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F72B" w14:textId="5378A88F" w:rsidR="003378D8" w:rsidRPr="00C92F0B" w:rsidRDefault="003378D8" w:rsidP="005104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0,02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EA37" w14:textId="77777777" w:rsidR="003378D8" w:rsidRPr="00C92F0B" w:rsidRDefault="003378D8" w:rsidP="005104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Zachovať súčasnú </w:t>
            </w:r>
            <w:r w:rsidRPr="00C92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výmeru biotopu</w:t>
            </w:r>
          </w:p>
        </w:tc>
      </w:tr>
      <w:tr w:rsidR="00F834CC" w:rsidRPr="00C92F0B" w14:paraId="303B4F48" w14:textId="77777777" w:rsidTr="00AA29D9">
        <w:trPr>
          <w:trHeight w:val="2408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CCBE" w14:textId="49E5957E" w:rsidR="00F834CC" w:rsidRPr="00C92F0B" w:rsidRDefault="00F834CC" w:rsidP="00F834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 charakteristických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6F76" w14:textId="58F2B8C0" w:rsidR="00F834CC" w:rsidRPr="00C92F0B" w:rsidRDefault="00F834CC" w:rsidP="00F834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počet druhov/16 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E4EC" w14:textId="7AF2A33C" w:rsidR="00F834CC" w:rsidRPr="00C92F0B" w:rsidRDefault="00F834CC" w:rsidP="00F834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najmenej 7 druhov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DBCC" w14:textId="77777777" w:rsidR="00F834CC" w:rsidRPr="00FA68E1" w:rsidRDefault="00F834CC" w:rsidP="00F834C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Charakteristické/typické druhové zloženie: </w:t>
            </w:r>
          </w:p>
          <w:p w14:paraId="747B10AA" w14:textId="00761567" w:rsidR="00F834CC" w:rsidRPr="00C92F0B" w:rsidRDefault="00F834CC" w:rsidP="00F834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Acinos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arvensis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Allium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flavum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Alyssum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alyssoides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Alyssum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Alyssum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tortuosum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Asperula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cynanchica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Arenaria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serpyllifolia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Cerastium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pumilum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Jovibarba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globifera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Lactuca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perennis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Medicago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minima,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Poa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badensis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Potentilla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arenaria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Pseudolysimachion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spicatum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Saxifraga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tridactylites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Sedum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acre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Sedum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album,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Sedum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sexangulare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Stachys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recta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Teucryum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chamaedris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Thlaspi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perfoliatum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cyparissias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Valerianella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dentata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Veronica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praecox</w:t>
            </w:r>
            <w:proofErr w:type="spellEnd"/>
          </w:p>
        </w:tc>
      </w:tr>
      <w:tr w:rsidR="00F834CC" w:rsidRPr="00C92F0B" w14:paraId="47EF26A0" w14:textId="77777777" w:rsidTr="00AA29D9">
        <w:trPr>
          <w:trHeight w:val="29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4B01" w14:textId="56210012" w:rsidR="00F834CC" w:rsidRPr="00C92F0B" w:rsidRDefault="00F834CC" w:rsidP="00F834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Vertikálna štruktúra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5B01" w14:textId="3DFEB98E" w:rsidR="00F834CC" w:rsidRPr="00C92F0B" w:rsidRDefault="00F834CC" w:rsidP="00F834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EFBB" w14:textId="47B5DF86" w:rsidR="00F834CC" w:rsidRPr="00C92F0B" w:rsidRDefault="00F834CC" w:rsidP="00F834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menej ako 15%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C5E2" w14:textId="4CAF5A70" w:rsidR="00F834CC" w:rsidRPr="00C92F0B" w:rsidRDefault="00F834CC" w:rsidP="00F834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Bylinná etáž zapojená približne na 30%, krovinová  a drevinová etáž zapojená max. na 15%.</w:t>
            </w:r>
          </w:p>
        </w:tc>
      </w:tr>
      <w:tr w:rsidR="00F834CC" w:rsidRPr="00C92F0B" w14:paraId="61D1F337" w14:textId="77777777" w:rsidTr="00AA29D9">
        <w:trPr>
          <w:trHeight w:val="85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461D" w14:textId="77777777" w:rsidR="00F834CC" w:rsidRPr="00FA68E1" w:rsidRDefault="00F834CC" w:rsidP="00F834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</w:t>
            </w:r>
          </w:p>
          <w:p w14:paraId="3CA99275" w14:textId="651A80E7" w:rsidR="00F834CC" w:rsidRPr="00C92F0B" w:rsidRDefault="00F834CC" w:rsidP="00F834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642D" w14:textId="7C3D9E2B" w:rsidR="00F834CC" w:rsidRPr="00C92F0B" w:rsidRDefault="00F834CC" w:rsidP="00F834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percento pokrytia/16 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EBBD" w14:textId="3DB68618" w:rsidR="00F834CC" w:rsidRPr="00C92F0B" w:rsidRDefault="00F834CC" w:rsidP="00F834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menej ako 1%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7FE3" w14:textId="5D700292" w:rsidR="00F834CC" w:rsidRPr="00C92F0B" w:rsidRDefault="00F834CC" w:rsidP="002520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Eliminovať zastúpenie </w:t>
            </w:r>
            <w:r w:rsidR="00252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nepôvodných druhov</w:t>
            </w:r>
          </w:p>
        </w:tc>
      </w:tr>
    </w:tbl>
    <w:p w14:paraId="322A65AC" w14:textId="77777777" w:rsidR="003378D8" w:rsidRDefault="003378D8" w:rsidP="003378D8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1F8B4C01" w14:textId="3760EE0C" w:rsidR="003378D8" w:rsidRPr="00D33C1D" w:rsidRDefault="003378D8" w:rsidP="003378D8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Zachovanie</w:t>
      </w:r>
      <w:r w:rsidRPr="00D33C1D">
        <w:rPr>
          <w:rFonts w:ascii="Times New Roman" w:hAnsi="Times New Roman" w:cs="Times New Roman"/>
          <w:color w:val="000000"/>
          <w:sz w:val="24"/>
          <w:szCs w:val="24"/>
        </w:rPr>
        <w:t xml:space="preserve"> stavu biotopu </w:t>
      </w:r>
      <w:r w:rsidRPr="00D33C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Tr1 (6210) </w:t>
      </w:r>
      <w:r w:rsidRPr="00D33C1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Suchomilné travinno-bylinné a krovinové porasty na vápnitom substráte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atribútov: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418"/>
        <w:gridCol w:w="4678"/>
      </w:tblGrid>
      <w:tr w:rsidR="00AA29D9" w:rsidRPr="003F5218" w14:paraId="261CA47D" w14:textId="77777777" w:rsidTr="00AA29D9">
        <w:trPr>
          <w:trHeight w:val="305"/>
          <w:jc w:val="center"/>
        </w:trPr>
        <w:tc>
          <w:tcPr>
            <w:tcW w:w="1702" w:type="dxa"/>
            <w:shd w:val="clear" w:color="auto" w:fill="FFFFFF"/>
            <w:hideMark/>
          </w:tcPr>
          <w:p w14:paraId="3DEF9802" w14:textId="04C73167" w:rsidR="00AA29D9" w:rsidRPr="00EF2001" w:rsidRDefault="00AA29D9" w:rsidP="00AA29D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shd w:val="clear" w:color="auto" w:fill="FFFFFF"/>
            <w:hideMark/>
          </w:tcPr>
          <w:p w14:paraId="2BA74FCE" w14:textId="0230BCE8" w:rsidR="00AA29D9" w:rsidRPr="00EF2001" w:rsidRDefault="00AA29D9" w:rsidP="00AA29D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418" w:type="dxa"/>
            <w:shd w:val="clear" w:color="auto" w:fill="FFFFFF"/>
            <w:hideMark/>
          </w:tcPr>
          <w:p w14:paraId="4CAD6BD3" w14:textId="7F9A4A35" w:rsidR="00AA29D9" w:rsidRPr="00EF2001" w:rsidRDefault="00AA29D9" w:rsidP="00AA29D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678" w:type="dxa"/>
            <w:shd w:val="clear" w:color="auto" w:fill="FFFFFF"/>
            <w:hideMark/>
          </w:tcPr>
          <w:p w14:paraId="340E5D43" w14:textId="597D2152" w:rsidR="00AA29D9" w:rsidRPr="00EF2001" w:rsidRDefault="00AA29D9" w:rsidP="00AA29D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3378D8" w:rsidRPr="003F5218" w14:paraId="4A03BF71" w14:textId="77777777" w:rsidTr="00AA29D9">
        <w:trPr>
          <w:trHeight w:val="290"/>
          <w:jc w:val="center"/>
        </w:trPr>
        <w:tc>
          <w:tcPr>
            <w:tcW w:w="1702" w:type="dxa"/>
            <w:shd w:val="clear" w:color="auto" w:fill="FFFFFF"/>
            <w:vAlign w:val="center"/>
            <w:hideMark/>
          </w:tcPr>
          <w:p w14:paraId="33DF1E63" w14:textId="77777777" w:rsidR="003378D8" w:rsidRPr="00EF2001" w:rsidRDefault="003378D8" w:rsidP="005104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2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119D80AD" w14:textId="77777777" w:rsidR="003378D8" w:rsidRPr="00EF2001" w:rsidRDefault="003378D8" w:rsidP="00510426">
            <w:pPr>
              <w:spacing w:line="240" w:lineRule="auto"/>
              <w:ind w:left="-12" w:firstLine="1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F20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14:paraId="625E35FA" w14:textId="46473E08" w:rsidR="003378D8" w:rsidRPr="00EF2001" w:rsidRDefault="003378D8" w:rsidP="005104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1,95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14:paraId="53499C73" w14:textId="77777777" w:rsidR="003378D8" w:rsidRPr="006E34AB" w:rsidRDefault="003378D8" w:rsidP="005104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E34A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Udržať výmeru biotopu.</w:t>
            </w:r>
          </w:p>
        </w:tc>
      </w:tr>
      <w:tr w:rsidR="00AA29D9" w:rsidRPr="003F5218" w14:paraId="28D4A7FE" w14:textId="77777777" w:rsidTr="00AA29D9">
        <w:trPr>
          <w:trHeight w:val="2900"/>
          <w:jc w:val="center"/>
        </w:trPr>
        <w:tc>
          <w:tcPr>
            <w:tcW w:w="1702" w:type="dxa"/>
            <w:shd w:val="clear" w:color="auto" w:fill="FFFFFF"/>
            <w:vAlign w:val="center"/>
            <w:hideMark/>
          </w:tcPr>
          <w:p w14:paraId="0CD43FD3" w14:textId="3A1C8A07" w:rsidR="00AA29D9" w:rsidRPr="00EF2001" w:rsidRDefault="00AA29D9" w:rsidP="00AA29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45A13919" w14:textId="26181A7A" w:rsidR="00AA29D9" w:rsidRPr="00EF2001" w:rsidRDefault="00AA29D9" w:rsidP="00AA29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druhov/16 m2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14:paraId="55185DCE" w14:textId="2A652A6B" w:rsidR="00AA29D9" w:rsidRPr="00EF2001" w:rsidRDefault="00AA29D9" w:rsidP="00AA29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najmenej 15 druhov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14:paraId="0C1B3D61" w14:textId="77777777" w:rsidR="00AA29D9" w:rsidRPr="00FA68E1" w:rsidRDefault="00AA29D9" w:rsidP="00AA29D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Charakteristické/typické druhové zloženie: </w:t>
            </w:r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14:paraId="22D38CFE" w14:textId="0C0E7CA5" w:rsidR="00AA29D9" w:rsidRPr="00EF2001" w:rsidRDefault="00AA29D9" w:rsidP="00AA29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Agrimonia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eupatoria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Achillea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millefolium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Arrhenatherum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elatius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Asperula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cynanchica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Brachypodium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pinnatum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Briza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media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Bromus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erectus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rupicola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Filipendula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vulgaris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Fragaria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viridis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Galium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Knautia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arvensis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Leontodon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hispidus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Lotus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corniculatus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Medicago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falcata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Pimpinella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saxifraga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Plantago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lanceolata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Plantago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media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Potentilla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heptaphylla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Ranunculus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polyanthemos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Salvia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Sanguisorba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minor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Securigera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varia,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Thymus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pannonicus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pratense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repens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Veronica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Viola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hirta</w:t>
            </w:r>
            <w:proofErr w:type="spellEnd"/>
          </w:p>
        </w:tc>
      </w:tr>
      <w:tr w:rsidR="00AA29D9" w:rsidRPr="003F5218" w14:paraId="41AED5A6" w14:textId="77777777" w:rsidTr="00AA29D9">
        <w:trPr>
          <w:trHeight w:val="290"/>
          <w:jc w:val="center"/>
        </w:trPr>
        <w:tc>
          <w:tcPr>
            <w:tcW w:w="1702" w:type="dxa"/>
            <w:shd w:val="clear" w:color="auto" w:fill="FFFFFF"/>
            <w:vAlign w:val="center"/>
            <w:hideMark/>
          </w:tcPr>
          <w:p w14:paraId="013D8C33" w14:textId="34EE171A" w:rsidR="00AA29D9" w:rsidRPr="00EF2001" w:rsidRDefault="00AA29D9" w:rsidP="00AA29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31383A99" w14:textId="69A36903" w:rsidR="00AA29D9" w:rsidRPr="00EF2001" w:rsidRDefault="00AA29D9" w:rsidP="00AA29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14:paraId="552CD0A8" w14:textId="56C05661" w:rsidR="00AA29D9" w:rsidRPr="00EF2001" w:rsidRDefault="00AA29D9" w:rsidP="00AA29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40 %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14:paraId="334D908A" w14:textId="4D94D2A6" w:rsidR="00AA29D9" w:rsidRPr="00EF2001" w:rsidRDefault="00AA29D9" w:rsidP="00AA29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Dosiahnuté nízke zastúpenie drevín v biotope.</w:t>
            </w:r>
          </w:p>
        </w:tc>
      </w:tr>
      <w:tr w:rsidR="00AA29D9" w:rsidRPr="003F5218" w14:paraId="64D88AEB" w14:textId="77777777" w:rsidTr="00AA29D9">
        <w:trPr>
          <w:trHeight w:val="850"/>
          <w:jc w:val="center"/>
        </w:trPr>
        <w:tc>
          <w:tcPr>
            <w:tcW w:w="1702" w:type="dxa"/>
            <w:shd w:val="clear" w:color="auto" w:fill="FFFFFF"/>
            <w:vAlign w:val="center"/>
            <w:hideMark/>
          </w:tcPr>
          <w:p w14:paraId="0A201BC7" w14:textId="77777777" w:rsidR="00AA29D9" w:rsidRPr="00FA68E1" w:rsidRDefault="00AA29D9" w:rsidP="00AA29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</w:t>
            </w:r>
          </w:p>
          <w:p w14:paraId="22CF21C5" w14:textId="0CD65EE3" w:rsidR="00AA29D9" w:rsidRPr="00EF2001" w:rsidRDefault="00AA29D9" w:rsidP="00AA29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7F4F4553" w14:textId="65CF63CA" w:rsidR="00AA29D9" w:rsidRPr="00EF2001" w:rsidRDefault="00AA29D9" w:rsidP="00AA29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pokrytia/16 m2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14:paraId="1F237B4A" w14:textId="495C5958" w:rsidR="00AA29D9" w:rsidRPr="00EF2001" w:rsidRDefault="00AA29D9" w:rsidP="00AA29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5%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14:paraId="2F3D7C5B" w14:textId="7FEBB455" w:rsidR="00AA29D9" w:rsidRPr="00EF2001" w:rsidRDefault="00AA29D9" w:rsidP="00AA29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expanzívnych alebo inváznych druhov</w:t>
            </w:r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Calamagrostis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epigejos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</w:t>
            </w:r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Solidago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canadensis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Solidago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gigantea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</w:tbl>
    <w:p w14:paraId="62564DBC" w14:textId="77777777" w:rsidR="003378D8" w:rsidRPr="00EF2001" w:rsidRDefault="003378D8" w:rsidP="003378D8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A5812F9" w14:textId="77777777" w:rsidR="0025205D" w:rsidRDefault="0025205D" w:rsidP="003378D8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1EBBD347" w14:textId="77777777" w:rsidR="0025205D" w:rsidRDefault="0025205D" w:rsidP="003378D8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65CE4F72" w14:textId="0FDCA53D" w:rsidR="003378D8" w:rsidRPr="009049B7" w:rsidRDefault="003378D8" w:rsidP="003378D8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Zachovanie </w:t>
      </w:r>
      <w:r w:rsidRPr="00CF3E6A">
        <w:rPr>
          <w:rFonts w:ascii="Times New Roman" w:hAnsi="Times New Roman" w:cs="Times New Roman"/>
          <w:color w:val="000000"/>
          <w:sz w:val="24"/>
          <w:szCs w:val="24"/>
        </w:rPr>
        <w:t xml:space="preserve">stavu biotopu </w:t>
      </w:r>
      <w:r w:rsidRPr="00CF3E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Sk1 (8210) </w:t>
      </w:r>
      <w:proofErr w:type="spellStart"/>
      <w:r w:rsidRPr="00CF3E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Karbonátové</w:t>
      </w:r>
      <w:proofErr w:type="spellEnd"/>
      <w:r w:rsidRPr="00CF3E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skalné steny a svahy so štrbinovou vegetáciou</w:t>
      </w:r>
      <w:r w:rsidRPr="001D18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splnenia nasledovných atribútov: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418"/>
        <w:gridCol w:w="4678"/>
      </w:tblGrid>
      <w:tr w:rsidR="00AA29D9" w:rsidRPr="00363901" w14:paraId="09131E9C" w14:textId="77777777" w:rsidTr="00AA29D9">
        <w:trPr>
          <w:trHeight w:val="482"/>
          <w:jc w:val="center"/>
        </w:trPr>
        <w:tc>
          <w:tcPr>
            <w:tcW w:w="1702" w:type="dxa"/>
            <w:shd w:val="clear" w:color="auto" w:fill="auto"/>
            <w:hideMark/>
          </w:tcPr>
          <w:p w14:paraId="36CAB6EF" w14:textId="6D08DC3A" w:rsidR="00AA29D9" w:rsidRPr="00EF2001" w:rsidRDefault="00AA29D9" w:rsidP="00AA29D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shd w:val="clear" w:color="auto" w:fill="auto"/>
            <w:hideMark/>
          </w:tcPr>
          <w:p w14:paraId="19D8C598" w14:textId="7171DCB3" w:rsidR="00AA29D9" w:rsidRPr="00EF2001" w:rsidRDefault="00AA29D9" w:rsidP="00AA29D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418" w:type="dxa"/>
            <w:shd w:val="clear" w:color="auto" w:fill="auto"/>
            <w:hideMark/>
          </w:tcPr>
          <w:p w14:paraId="2C2118BC" w14:textId="242D54BC" w:rsidR="00AA29D9" w:rsidRPr="00EF2001" w:rsidRDefault="00AA29D9" w:rsidP="00AA29D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678" w:type="dxa"/>
            <w:shd w:val="clear" w:color="auto" w:fill="auto"/>
            <w:hideMark/>
          </w:tcPr>
          <w:p w14:paraId="0CBEA6D6" w14:textId="1A52D412" w:rsidR="00AA29D9" w:rsidRPr="00EF2001" w:rsidRDefault="00AA29D9" w:rsidP="00AA29D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3378D8" w:rsidRPr="00363901" w14:paraId="0AE999A2" w14:textId="77777777" w:rsidTr="00AA29D9">
        <w:trPr>
          <w:trHeight w:val="290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3D8A095C" w14:textId="77777777" w:rsidR="003378D8" w:rsidRPr="00EF2001" w:rsidRDefault="003378D8" w:rsidP="005104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2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95DB38" w14:textId="77777777" w:rsidR="003378D8" w:rsidRPr="00EF2001" w:rsidRDefault="003378D8" w:rsidP="005104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F20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07FA83" w14:textId="3E2A11C2" w:rsidR="003378D8" w:rsidRPr="00EF2001" w:rsidRDefault="004D2294" w:rsidP="005104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0,06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68226780" w14:textId="77777777" w:rsidR="003378D8" w:rsidRPr="00EF2001" w:rsidRDefault="003378D8" w:rsidP="005104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F20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Udržať výmeru biotopu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Pr="00EF20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AA29D9" w:rsidRPr="00363901" w14:paraId="68712DBD" w14:textId="77777777" w:rsidTr="00AA29D9">
        <w:trPr>
          <w:trHeight w:val="290"/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3EB78031" w14:textId="4B7E7250" w:rsidR="00AA29D9" w:rsidRPr="00EF2001" w:rsidRDefault="00AA29D9" w:rsidP="00AA29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BDB550" w14:textId="4F2049F9" w:rsidR="00AA29D9" w:rsidRPr="00EF2001" w:rsidRDefault="00AA29D9" w:rsidP="00AA29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druhov/16 m</w:t>
            </w: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E18BEA" w14:textId="5B3C0EBF" w:rsidR="00AA29D9" w:rsidRPr="00EF2001" w:rsidRDefault="00AA29D9" w:rsidP="00AA29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najmenej 1 druh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DAA5DF3" w14:textId="77777777" w:rsidR="00AA29D9" w:rsidRPr="00FA68E1" w:rsidRDefault="00AA29D9" w:rsidP="00AA29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Charakteristické/typické druhové zloženie:</w:t>
            </w:r>
          </w:p>
          <w:p w14:paraId="6FC15F48" w14:textId="5BE2EF4B" w:rsidR="00AA29D9" w:rsidRPr="00EF2001" w:rsidRDefault="00AA29D9" w:rsidP="00AA29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Asplenium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ruta-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muraria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Asplenium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trichomanes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Asplenium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viride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Campanula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carpatica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Campanula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xylocarpa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Cardaminopsis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arenosa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Carex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digitata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Cystopteris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fragilis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Galeobdolon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luteum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Geranium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robertianum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Mycelis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muralis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Phyllitis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scolopendrium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Polypodium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vulgare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Primula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auricula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Sesleria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albicans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Valeriana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tripteris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</w:tc>
      </w:tr>
      <w:tr w:rsidR="00AA29D9" w:rsidRPr="00363901" w14:paraId="61A6B02D" w14:textId="77777777" w:rsidTr="00AA29D9">
        <w:trPr>
          <w:trHeight w:val="290"/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58F48ABE" w14:textId="09B25EF3" w:rsidR="00AA29D9" w:rsidRPr="00EF2001" w:rsidRDefault="00AA29D9" w:rsidP="00AA29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7B881F" w14:textId="33AA4155" w:rsidR="00AA29D9" w:rsidRPr="00EF2001" w:rsidRDefault="00AA29D9" w:rsidP="00AA29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21D2B8" w14:textId="7DFAF2B3" w:rsidR="00AA29D9" w:rsidRPr="00EF2001" w:rsidRDefault="00AA29D9" w:rsidP="00AA29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10 %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A9DC54C" w14:textId="1BE810E8" w:rsidR="00AA29D9" w:rsidRPr="00EF2001" w:rsidRDefault="00AA29D9" w:rsidP="00AA29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Minimálny výskyt drevín na skalných útvaroch.</w:t>
            </w:r>
          </w:p>
        </w:tc>
      </w:tr>
      <w:tr w:rsidR="00AA29D9" w:rsidRPr="00363901" w14:paraId="65DA6313" w14:textId="77777777" w:rsidTr="00AA29D9">
        <w:trPr>
          <w:trHeight w:val="290"/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38BF997B" w14:textId="77777777" w:rsidR="00AA29D9" w:rsidRPr="00FA68E1" w:rsidRDefault="00AA29D9" w:rsidP="00AA29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</w:t>
            </w:r>
          </w:p>
          <w:p w14:paraId="67E57056" w14:textId="296FC6D2" w:rsidR="00AA29D9" w:rsidRPr="00EF2001" w:rsidRDefault="00AA29D9" w:rsidP="00AA29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1389ED" w14:textId="54D81436" w:rsidR="00AA29D9" w:rsidRPr="00EF2001" w:rsidRDefault="00AA29D9" w:rsidP="00AA29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pokrytia/16 m</w:t>
            </w: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9F3E82" w14:textId="222A2A4B" w:rsidR="00AA29D9" w:rsidRPr="00EF2001" w:rsidRDefault="00AA29D9" w:rsidP="00AA29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1 %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82DF345" w14:textId="4CCB2708" w:rsidR="00AA29D9" w:rsidRPr="00EF2001" w:rsidRDefault="00AA29D9" w:rsidP="00AA29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výskytu, alebo len s minimálnym výskytom nepôvodných a inváznych druhov na území.</w:t>
            </w:r>
          </w:p>
        </w:tc>
      </w:tr>
    </w:tbl>
    <w:p w14:paraId="0617B4E9" w14:textId="77777777" w:rsidR="003378D8" w:rsidRPr="00122744" w:rsidRDefault="003378D8" w:rsidP="003378D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16335D44" w14:textId="77777777" w:rsidR="00C50A11" w:rsidRDefault="00C50A11" w:rsidP="00C50A11">
      <w:pPr>
        <w:pStyle w:val="Zkladntext"/>
        <w:widowControl w:val="0"/>
        <w:ind w:left="-284"/>
        <w:jc w:val="left"/>
        <w:rPr>
          <w:b w:val="0"/>
        </w:rPr>
      </w:pPr>
    </w:p>
    <w:p w14:paraId="06CA17E9" w14:textId="2946A4F7" w:rsidR="00C50A11" w:rsidRDefault="00C50A11" w:rsidP="00C50A11">
      <w:pPr>
        <w:pStyle w:val="Zkladntext"/>
        <w:widowControl w:val="0"/>
        <w:ind w:left="-284"/>
        <w:jc w:val="left"/>
      </w:pPr>
      <w:r>
        <w:rPr>
          <w:b w:val="0"/>
        </w:rPr>
        <w:t xml:space="preserve">Zlepšenie stavu druhu </w:t>
      </w:r>
      <w:proofErr w:type="spellStart"/>
      <w:r>
        <w:rPr>
          <w:i/>
        </w:rPr>
        <w:t>Pulsatilla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grandis</w:t>
      </w:r>
      <w:proofErr w:type="spellEnd"/>
      <w:r>
        <w:rPr>
          <w:i/>
        </w:rPr>
        <w:t xml:space="preserve"> </w:t>
      </w:r>
      <w:r w:rsidRPr="00510442">
        <w:rPr>
          <w:b w:val="0"/>
        </w:rPr>
        <w:t>za splnenia nasledovných atribútov</w:t>
      </w:r>
      <w:r>
        <w:rPr>
          <w:b w:val="0"/>
        </w:rPr>
        <w:t>:</w:t>
      </w:r>
    </w:p>
    <w:tbl>
      <w:tblPr>
        <w:tblW w:w="506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57"/>
        <w:gridCol w:w="1373"/>
        <w:gridCol w:w="1462"/>
        <w:gridCol w:w="4678"/>
      </w:tblGrid>
      <w:tr w:rsidR="00AA29D9" w:rsidRPr="00125304" w14:paraId="3ECAEEC2" w14:textId="77777777" w:rsidTr="00AA29D9">
        <w:trPr>
          <w:trHeight w:val="355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3CCE" w14:textId="15AECA30" w:rsidR="00AA29D9" w:rsidRPr="00125304" w:rsidRDefault="00AA29D9" w:rsidP="00AA29D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2E6E6C" w14:textId="2BC5DA83" w:rsidR="00AA29D9" w:rsidRPr="00125304" w:rsidRDefault="00AA29D9" w:rsidP="00AA29D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EF8EF" w14:textId="599C5E80" w:rsidR="00AA29D9" w:rsidRPr="00125304" w:rsidRDefault="00AA29D9" w:rsidP="00AA29D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B0982F" w14:textId="285D3728" w:rsidR="00AA29D9" w:rsidRPr="00125304" w:rsidRDefault="00AA29D9" w:rsidP="00AA29D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C50A11" w:rsidRPr="00125304" w14:paraId="039C9346" w14:textId="77777777" w:rsidTr="00AA29D9">
        <w:trPr>
          <w:trHeight w:val="274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5E59" w14:textId="77777777" w:rsidR="00C50A11" w:rsidRPr="00AA29D9" w:rsidRDefault="00C50A11" w:rsidP="005104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AA2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35F3" w14:textId="77777777" w:rsidR="00C50A11" w:rsidRPr="00AA29D9" w:rsidRDefault="00C50A11" w:rsidP="005104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AA2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9F45" w14:textId="4C8C57DF" w:rsidR="00C50A11" w:rsidRPr="00AA29D9" w:rsidRDefault="00C50A11" w:rsidP="00C50A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AA2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Min. 200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D470" w14:textId="53452870" w:rsidR="00C50A11" w:rsidRPr="00AA29D9" w:rsidRDefault="00C50A11" w:rsidP="005104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AA2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Zvýšenie populácie druhu zo súčasných 150 až 250 jedincov, na min. 200 jedincov.</w:t>
            </w:r>
          </w:p>
        </w:tc>
      </w:tr>
      <w:tr w:rsidR="00C50A11" w:rsidRPr="00125304" w14:paraId="07C8F8E7" w14:textId="77777777" w:rsidTr="00AA29D9">
        <w:trPr>
          <w:trHeight w:val="285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9BF4" w14:textId="77777777" w:rsidR="00C50A11" w:rsidRPr="00AA29D9" w:rsidRDefault="00C50A11" w:rsidP="005104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AA2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Veľkosť biotopu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A9F7" w14:textId="77777777" w:rsidR="00C50A11" w:rsidRPr="00AA29D9" w:rsidRDefault="00C50A11" w:rsidP="005104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AA2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E7021" w14:textId="0546C346" w:rsidR="00C50A11" w:rsidRPr="00AA29D9" w:rsidRDefault="009F0B8C" w:rsidP="005104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0,25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5E28" w14:textId="77777777" w:rsidR="00C50A11" w:rsidRPr="00AA29D9" w:rsidRDefault="00C50A11" w:rsidP="005104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AA2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Udržať súčasnú výmeru biotopu druhu.</w:t>
            </w:r>
          </w:p>
        </w:tc>
      </w:tr>
      <w:tr w:rsidR="00C50A11" w:rsidRPr="00125304" w14:paraId="0BA622CA" w14:textId="77777777" w:rsidTr="00AA29D9">
        <w:trPr>
          <w:trHeight w:val="930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7DA0" w14:textId="77777777" w:rsidR="00C50A11" w:rsidRPr="00AA29D9" w:rsidRDefault="00C50A11" w:rsidP="005104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AA2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3673" w14:textId="77777777" w:rsidR="00C50A11" w:rsidRPr="00AA29D9" w:rsidRDefault="00C50A11" w:rsidP="00AA29D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AA2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Výskyt typických druhov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8CA8" w14:textId="77777777" w:rsidR="00C50A11" w:rsidRPr="00AA29D9" w:rsidRDefault="00C50A11" w:rsidP="005104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AA2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Min. 3 druhy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6C952" w14:textId="667EED3C" w:rsidR="00C50A11" w:rsidRPr="00AA29D9" w:rsidRDefault="00AA29D9" w:rsidP="00510426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Anthericum</w:t>
            </w:r>
            <w:proofErr w:type="spellEnd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ramosum</w:t>
            </w:r>
            <w:proofErr w:type="spellEnd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Anthyllis</w:t>
            </w:r>
            <w:proofErr w:type="spellEnd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vulneraria</w:t>
            </w:r>
            <w:proofErr w:type="spellEnd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Asperula</w:t>
            </w:r>
            <w:proofErr w:type="spellEnd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cynanchica</w:t>
            </w:r>
            <w:proofErr w:type="spellEnd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Festuca</w:t>
            </w:r>
            <w:proofErr w:type="spellEnd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rupicola</w:t>
            </w:r>
            <w:proofErr w:type="spellEnd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Filipendula</w:t>
            </w:r>
            <w:proofErr w:type="spellEnd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vulgaris</w:t>
            </w:r>
            <w:proofErr w:type="spellEnd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Genista</w:t>
            </w:r>
            <w:proofErr w:type="spellEnd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tinctoria</w:t>
            </w:r>
            <w:proofErr w:type="spellEnd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Helianthemum</w:t>
            </w:r>
            <w:proofErr w:type="spellEnd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nummularium</w:t>
            </w:r>
            <w:proofErr w:type="spellEnd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agg</w:t>
            </w:r>
            <w:proofErr w:type="spellEnd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Hippocrepis</w:t>
            </w:r>
            <w:proofErr w:type="spellEnd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comosa</w:t>
            </w:r>
            <w:proofErr w:type="spellEnd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Hypericum</w:t>
            </w:r>
            <w:proofErr w:type="spellEnd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perforatum</w:t>
            </w:r>
            <w:proofErr w:type="spellEnd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Koeleria</w:t>
            </w:r>
            <w:proofErr w:type="spellEnd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macrantha</w:t>
            </w:r>
            <w:proofErr w:type="spellEnd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Pimpinella</w:t>
            </w:r>
            <w:proofErr w:type="spellEnd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saxifraga</w:t>
            </w:r>
            <w:proofErr w:type="spellEnd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Plantago</w:t>
            </w:r>
            <w:proofErr w:type="spellEnd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media</w:t>
            </w:r>
            <w:proofErr w:type="spellEnd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Salvia</w:t>
            </w:r>
            <w:proofErr w:type="spellEnd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pratensis</w:t>
            </w:r>
            <w:proofErr w:type="spellEnd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Teucrium</w:t>
            </w:r>
            <w:proofErr w:type="spellEnd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chamaedrys</w:t>
            </w:r>
            <w:proofErr w:type="spellEnd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Teucrium</w:t>
            </w:r>
            <w:proofErr w:type="spellEnd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montanum</w:t>
            </w:r>
            <w:proofErr w:type="spellEnd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Tithymalus</w:t>
            </w:r>
            <w:proofErr w:type="spellEnd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cyparissias</w:t>
            </w:r>
            <w:proofErr w:type="spellEnd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Viola </w:t>
            </w:r>
            <w:proofErr w:type="spellStart"/>
            <w:r w:rsidRPr="00AA29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hirta</w:t>
            </w:r>
            <w:proofErr w:type="spellEnd"/>
          </w:p>
        </w:tc>
      </w:tr>
      <w:tr w:rsidR="00C50A11" w:rsidRPr="00125304" w14:paraId="0991EC40" w14:textId="77777777" w:rsidTr="00AA29D9">
        <w:trPr>
          <w:trHeight w:val="23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443E" w14:textId="77777777" w:rsidR="00C50A11" w:rsidRPr="00AA29D9" w:rsidRDefault="00C50A11" w:rsidP="005104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AA2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40CD1" w14:textId="77777777" w:rsidR="00C50A11" w:rsidRPr="00AA29D9" w:rsidRDefault="00C50A11" w:rsidP="005104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AA2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AA2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sukcesných</w:t>
            </w:r>
            <w:proofErr w:type="spellEnd"/>
            <w:r w:rsidRPr="00AA2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drevín %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C5F00" w14:textId="77777777" w:rsidR="00C50A11" w:rsidRPr="00AA29D9" w:rsidRDefault="00C50A11" w:rsidP="005104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AA2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Menej ako 35 % drevín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5823A" w14:textId="77777777" w:rsidR="00C50A11" w:rsidRPr="00AA29D9" w:rsidRDefault="00C50A11" w:rsidP="005104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</w:pPr>
            <w:r w:rsidRPr="00AA2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 xml:space="preserve">Minimálne </w:t>
            </w:r>
            <w:proofErr w:type="spellStart"/>
            <w:r w:rsidRPr="00AA2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>sukcesné</w:t>
            </w:r>
            <w:proofErr w:type="spellEnd"/>
            <w:r w:rsidRPr="00AA2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 xml:space="preserve"> porasty drevín alebo krovín na lokalitách druhu.</w:t>
            </w:r>
          </w:p>
        </w:tc>
      </w:tr>
      <w:tr w:rsidR="00C50A11" w:rsidRPr="00125304" w14:paraId="3EFF9298" w14:textId="77777777" w:rsidTr="00AA29D9">
        <w:trPr>
          <w:trHeight w:val="23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0C6C" w14:textId="77777777" w:rsidR="00C50A11" w:rsidRPr="00AA29D9" w:rsidRDefault="00C50A11" w:rsidP="005104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AA2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Zastúpenie </w:t>
            </w:r>
            <w:proofErr w:type="spellStart"/>
            <w:r w:rsidRPr="00AA2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alochtónnych</w:t>
            </w:r>
            <w:proofErr w:type="spellEnd"/>
            <w:r w:rsidRPr="00AA2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6556B" w14:textId="77777777" w:rsidR="00C50A11" w:rsidRPr="00AA29D9" w:rsidRDefault="00C50A11" w:rsidP="005104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AA2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  (%) pokrytia / ha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7969A" w14:textId="77777777" w:rsidR="00C50A11" w:rsidRPr="00AA29D9" w:rsidRDefault="00C50A11" w:rsidP="005104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AA2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0 %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97CA5" w14:textId="77777777" w:rsidR="00C50A11" w:rsidRPr="00AA29D9" w:rsidRDefault="00C50A11" w:rsidP="005104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</w:pPr>
            <w:r w:rsidRPr="00AA2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>Minimálne (žiadne) zastúpenie</w:t>
            </w:r>
            <w:r w:rsidRPr="00AA29D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AFBFA"/>
              </w:rPr>
              <w:t xml:space="preserve"> </w:t>
            </w:r>
            <w:r w:rsidRPr="00AA2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>inváznych druhov</w:t>
            </w:r>
            <w:r w:rsidRPr="00AA29D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AFBFA"/>
              </w:rPr>
              <w:t xml:space="preserve"> </w:t>
            </w:r>
          </w:p>
        </w:tc>
      </w:tr>
    </w:tbl>
    <w:p w14:paraId="6DA7A416" w14:textId="77777777" w:rsidR="00C50A11" w:rsidRDefault="00C50A11" w:rsidP="00C50A11"/>
    <w:p w14:paraId="2B1D4339" w14:textId="3AE3C2EE" w:rsidR="00C50A11" w:rsidRPr="00B0111C" w:rsidRDefault="00C50A11" w:rsidP="00C50A11">
      <w:pPr>
        <w:rPr>
          <w:rFonts w:ascii="Times New Roman" w:hAnsi="Times New Roman" w:cs="Times New Roman"/>
          <w:sz w:val="24"/>
          <w:szCs w:val="24"/>
        </w:rPr>
      </w:pPr>
      <w:r w:rsidRPr="00B0111C">
        <w:rPr>
          <w:rFonts w:ascii="Times New Roman" w:hAnsi="Times New Roman" w:cs="Times New Roman"/>
          <w:sz w:val="24"/>
          <w:szCs w:val="24"/>
        </w:rPr>
        <w:t xml:space="preserve">Zlepšenie stavu druhu </w:t>
      </w:r>
      <w:proofErr w:type="spellStart"/>
      <w:r w:rsidRPr="00C50139">
        <w:rPr>
          <w:rFonts w:ascii="Times New Roman" w:hAnsi="Times New Roman" w:cs="Times New Roman"/>
          <w:b/>
          <w:i/>
          <w:sz w:val="24"/>
          <w:szCs w:val="24"/>
        </w:rPr>
        <w:t>Pontechium</w:t>
      </w:r>
      <w:proofErr w:type="spellEnd"/>
      <w:r w:rsidRPr="00C501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50139">
        <w:rPr>
          <w:rFonts w:ascii="Times New Roman" w:hAnsi="Times New Roman" w:cs="Times New Roman"/>
          <w:b/>
          <w:i/>
          <w:sz w:val="24"/>
          <w:szCs w:val="24"/>
        </w:rPr>
        <w:t>maculatum</w:t>
      </w:r>
      <w:proofErr w:type="spellEnd"/>
      <w:r w:rsidRPr="00C501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50139">
        <w:rPr>
          <w:rFonts w:ascii="Times New Roman" w:hAnsi="Times New Roman" w:cs="Times New Roman"/>
          <w:b/>
          <w:i/>
          <w:sz w:val="24"/>
          <w:szCs w:val="24"/>
        </w:rPr>
        <w:t>ssp</w:t>
      </w:r>
      <w:proofErr w:type="spellEnd"/>
      <w:r w:rsidRPr="00C5013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C50139">
        <w:rPr>
          <w:rFonts w:ascii="Times New Roman" w:hAnsi="Times New Roman" w:cs="Times New Roman"/>
          <w:b/>
          <w:i/>
          <w:sz w:val="24"/>
          <w:szCs w:val="24"/>
        </w:rPr>
        <w:t>maculatum</w:t>
      </w:r>
      <w:proofErr w:type="spellEnd"/>
      <w:r w:rsidRPr="00C50139">
        <w:rPr>
          <w:rFonts w:ascii="Times New Roman" w:hAnsi="Times New Roman" w:cs="Times New Roman"/>
          <w:b/>
          <w:i/>
          <w:sz w:val="24"/>
          <w:szCs w:val="24"/>
        </w:rPr>
        <w:t xml:space="preserve"> (syn. </w:t>
      </w:r>
      <w:proofErr w:type="spellStart"/>
      <w:r w:rsidRPr="00C50139">
        <w:rPr>
          <w:rFonts w:ascii="Times New Roman" w:hAnsi="Times New Roman" w:cs="Times New Roman"/>
          <w:b/>
          <w:i/>
          <w:sz w:val="24"/>
          <w:szCs w:val="24"/>
        </w:rPr>
        <w:t>Echium</w:t>
      </w:r>
      <w:proofErr w:type="spellEnd"/>
      <w:r w:rsidRPr="00C501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50139">
        <w:rPr>
          <w:rFonts w:ascii="Times New Roman" w:hAnsi="Times New Roman" w:cs="Times New Roman"/>
          <w:b/>
          <w:i/>
          <w:sz w:val="24"/>
          <w:szCs w:val="24"/>
        </w:rPr>
        <w:t>russicum</w:t>
      </w:r>
      <w:proofErr w:type="spellEnd"/>
      <w:r w:rsidRPr="00C5013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139">
        <w:rPr>
          <w:rFonts w:ascii="Times New Roman" w:hAnsi="Times New Roman" w:cs="Times New Roman"/>
          <w:sz w:val="24"/>
          <w:szCs w:val="24"/>
        </w:rPr>
        <w:t>za</w:t>
      </w:r>
      <w:r w:rsidRPr="00B0111C">
        <w:rPr>
          <w:rFonts w:ascii="Times New Roman" w:hAnsi="Times New Roman" w:cs="Times New Roman"/>
          <w:sz w:val="24"/>
          <w:szCs w:val="24"/>
        </w:rPr>
        <w:t xml:space="preserve"> splnenia nasledovných atribútov</w:t>
      </w:r>
      <w:r w:rsidR="00AA29D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111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417"/>
        <w:gridCol w:w="1418"/>
        <w:gridCol w:w="4725"/>
      </w:tblGrid>
      <w:tr w:rsidR="00AA29D9" w14:paraId="3066AB23" w14:textId="77777777" w:rsidTr="00AA29D9">
        <w:trPr>
          <w:trHeight w:val="35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AFC9" w14:textId="64DA0DEC" w:rsidR="00AA29D9" w:rsidRDefault="00AA29D9" w:rsidP="00AA29D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C6FD7" w14:textId="0250410F" w:rsidR="00AA29D9" w:rsidRDefault="00AA29D9" w:rsidP="00AA29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0B38F5" w14:textId="396D330C" w:rsidR="00AA29D9" w:rsidRDefault="00AA29D9" w:rsidP="00AA29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951580" w14:textId="5BCB4D97" w:rsidR="00AA29D9" w:rsidRDefault="00AA29D9" w:rsidP="00AA29D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C50A11" w14:paraId="2E56EDD2" w14:textId="77777777" w:rsidTr="00AA29D9">
        <w:trPr>
          <w:trHeight w:val="27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3D2C" w14:textId="24B872A4" w:rsidR="00C50A11" w:rsidRDefault="00AA29D9" w:rsidP="005104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AA29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AA90" w14:textId="77777777" w:rsidR="00C50A11" w:rsidRDefault="00C50A11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073D" w14:textId="1F5994C4" w:rsidR="00C50A11" w:rsidRDefault="00C50A11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70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6545" w14:textId="283F8E66" w:rsidR="00C50A11" w:rsidRDefault="00C50A11" w:rsidP="005104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Zachovanie populácie druhu na úrovni min. 70 jedincov (v závislosti od variability početnosti populácie v rámci jednotlivých rokov sa pohybuje od 20 – 70 jedincov).</w:t>
            </w:r>
          </w:p>
        </w:tc>
      </w:tr>
      <w:tr w:rsidR="00C50A11" w14:paraId="0A299586" w14:textId="77777777" w:rsidTr="00AA29D9">
        <w:trPr>
          <w:trHeight w:val="93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5E8A" w14:textId="77777777" w:rsidR="00C50A11" w:rsidRDefault="00C50A11" w:rsidP="005104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B862" w14:textId="77777777" w:rsidR="00C50A11" w:rsidRDefault="00C50A11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Výmera v 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78928" w14:textId="48E0C34F" w:rsidR="00C50A11" w:rsidRDefault="00617CF1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0,5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7940" w14:textId="77777777" w:rsidR="00C50A11" w:rsidRDefault="00C50A11" w:rsidP="005104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Udržať súčasnú potenciálnu výmeru biotopu druhu.</w:t>
            </w:r>
          </w:p>
        </w:tc>
      </w:tr>
      <w:tr w:rsidR="00C50A11" w:rsidRPr="002378BD" w14:paraId="48B29FDB" w14:textId="77777777" w:rsidTr="00AA29D9">
        <w:trPr>
          <w:trHeight w:val="93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E029" w14:textId="77777777" w:rsidR="00C50A11" w:rsidRDefault="00C50A11" w:rsidP="005104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84B9" w14:textId="77777777" w:rsidR="00C50A11" w:rsidRDefault="00C50A11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Výskyt typických druhov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828D" w14:textId="77777777" w:rsidR="00C50A11" w:rsidRDefault="00C50A11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3 druhy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E30CA" w14:textId="4135AD3E" w:rsidR="00C50A11" w:rsidRPr="002378BD" w:rsidRDefault="00AA29D9" w:rsidP="0051042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Agrimonia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eupatoria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Achillea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millefolium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Arabis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hirsuta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Brachypodium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pinnatum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Clinopodium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vulgare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Eryngium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campestre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rupicola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Filipendula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vulgaris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Fragaria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viridis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Galium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Knautia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arvensis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Koeleria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macrantha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Pimpinella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saxifraga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Plantago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media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Potentilla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arenaria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Prunella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laciniata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Pseudolysimachion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spicatum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Salvia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Securigera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varia,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Thymus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pannonicus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Viola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hirta</w:t>
            </w:r>
            <w:proofErr w:type="spellEnd"/>
          </w:p>
        </w:tc>
      </w:tr>
      <w:tr w:rsidR="00C50A11" w:rsidRPr="00E534A1" w14:paraId="6CE5455F" w14:textId="77777777" w:rsidTr="00AA29D9">
        <w:trPr>
          <w:trHeight w:val="93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72BF" w14:textId="77777777" w:rsidR="00C50A11" w:rsidRDefault="00C50A11" w:rsidP="005104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DC939" w14:textId="77777777" w:rsidR="00C50A11" w:rsidRDefault="00C50A11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sukcesných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drevín v % 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travinných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biotopoch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D869E" w14:textId="77777777" w:rsidR="00C50A11" w:rsidRDefault="00C50A11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15 % drevín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23F5A" w14:textId="77777777" w:rsidR="00C50A11" w:rsidRPr="00E534A1" w:rsidRDefault="00C50A11" w:rsidP="005104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AFBFA"/>
              </w:rPr>
            </w:pP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AFBFA"/>
              </w:rPr>
              <w:t>Minimálne zastúpenie sukcesie na nelesných lokalitách druhu</w:t>
            </w:r>
          </w:p>
        </w:tc>
      </w:tr>
      <w:tr w:rsidR="00C50A11" w14:paraId="20FB47A1" w14:textId="77777777" w:rsidTr="00AA29D9">
        <w:trPr>
          <w:trHeight w:val="93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3A15" w14:textId="77777777" w:rsidR="00C50A11" w:rsidRDefault="00C50A11" w:rsidP="005104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9563EF">
              <w:rPr>
                <w:rFonts w:ascii="Times New Roman" w:hAnsi="Times New Roman" w:cs="Times New Roman"/>
                <w:sz w:val="18"/>
                <w:szCs w:val="18"/>
              </w:rPr>
              <w:t xml:space="preserve">Zastúpenie </w:t>
            </w:r>
            <w:proofErr w:type="spellStart"/>
            <w:r w:rsidRPr="009563EF">
              <w:rPr>
                <w:rFonts w:ascii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9563EF">
              <w:rPr>
                <w:rFonts w:ascii="Times New Roman" w:hAnsi="Times New Roman" w:cs="Times New Roman"/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8191C" w14:textId="77777777" w:rsidR="00C50A11" w:rsidRDefault="00C50A11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9563EF">
              <w:rPr>
                <w:rFonts w:ascii="Times New Roman" w:hAnsi="Times New Roman" w:cs="Times New Roman"/>
                <w:sz w:val="18"/>
                <w:szCs w:val="18"/>
              </w:rPr>
              <w:t>Percento  (%) pokrytia / ha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82D13" w14:textId="77777777" w:rsidR="00C50A11" w:rsidRDefault="00C50A11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563EF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60CF1" w14:textId="77777777" w:rsidR="00C50A11" w:rsidRDefault="00C50A11" w:rsidP="0051042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AFBFA"/>
              </w:rPr>
            </w:pPr>
            <w:r w:rsidRPr="002378B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AFBFA"/>
              </w:rPr>
              <w:t>Minimálne zastúpenie</w:t>
            </w:r>
            <w:r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AFBFA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AFBFA"/>
              </w:rPr>
              <w:t>inváznych druhov</w:t>
            </w:r>
            <w:r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AFBFA"/>
              </w:rPr>
              <w:t xml:space="preserve"> </w:t>
            </w:r>
          </w:p>
        </w:tc>
      </w:tr>
    </w:tbl>
    <w:p w14:paraId="62F7A94D" w14:textId="77777777" w:rsidR="00C50A11" w:rsidRDefault="00C50A11" w:rsidP="00C50A11"/>
    <w:p w14:paraId="5226E98E" w14:textId="77777777" w:rsidR="00C50A11" w:rsidRDefault="00C50A11" w:rsidP="00C50A11">
      <w:pPr>
        <w:pStyle w:val="Zkladntext"/>
        <w:widowControl w:val="0"/>
        <w:ind w:left="-284"/>
        <w:jc w:val="left"/>
        <w:rPr>
          <w:b w:val="0"/>
          <w:color w:val="000000"/>
        </w:rPr>
      </w:pPr>
    </w:p>
    <w:p w14:paraId="15A8C63F" w14:textId="77777777" w:rsidR="00C50A11" w:rsidRDefault="00C50A11" w:rsidP="003378D8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227AFF96" w14:textId="63ABE605" w:rsidR="004E0F59" w:rsidRDefault="004E0F59" w:rsidP="000F1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E0F59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1518F"/>
    <w:rsid w:val="0002231E"/>
    <w:rsid w:val="00024F35"/>
    <w:rsid w:val="000302C7"/>
    <w:rsid w:val="00032289"/>
    <w:rsid w:val="00034AE7"/>
    <w:rsid w:val="00052428"/>
    <w:rsid w:val="00086B26"/>
    <w:rsid w:val="00090147"/>
    <w:rsid w:val="000A0F1F"/>
    <w:rsid w:val="000A53DA"/>
    <w:rsid w:val="000B494B"/>
    <w:rsid w:val="000C35EE"/>
    <w:rsid w:val="000D3ACB"/>
    <w:rsid w:val="000D4C17"/>
    <w:rsid w:val="000E5829"/>
    <w:rsid w:val="000F08DC"/>
    <w:rsid w:val="000F140B"/>
    <w:rsid w:val="000F15B6"/>
    <w:rsid w:val="001075EC"/>
    <w:rsid w:val="00107F36"/>
    <w:rsid w:val="0011087C"/>
    <w:rsid w:val="001123F2"/>
    <w:rsid w:val="001131E3"/>
    <w:rsid w:val="0011445B"/>
    <w:rsid w:val="001258AA"/>
    <w:rsid w:val="00127849"/>
    <w:rsid w:val="00165F46"/>
    <w:rsid w:val="00166A90"/>
    <w:rsid w:val="00186C3C"/>
    <w:rsid w:val="00195E53"/>
    <w:rsid w:val="001B4A5C"/>
    <w:rsid w:val="001C4290"/>
    <w:rsid w:val="001D51FF"/>
    <w:rsid w:val="001F7DC2"/>
    <w:rsid w:val="00201434"/>
    <w:rsid w:val="00201FFE"/>
    <w:rsid w:val="002104EF"/>
    <w:rsid w:val="002147C9"/>
    <w:rsid w:val="00241989"/>
    <w:rsid w:val="00247CEF"/>
    <w:rsid w:val="0025205D"/>
    <w:rsid w:val="00257424"/>
    <w:rsid w:val="00260D76"/>
    <w:rsid w:val="002716FE"/>
    <w:rsid w:val="002822A5"/>
    <w:rsid w:val="00286C9F"/>
    <w:rsid w:val="0029101B"/>
    <w:rsid w:val="00291970"/>
    <w:rsid w:val="00294945"/>
    <w:rsid w:val="002B384F"/>
    <w:rsid w:val="002B3C46"/>
    <w:rsid w:val="002D311A"/>
    <w:rsid w:val="002F2ED0"/>
    <w:rsid w:val="002F7BBC"/>
    <w:rsid w:val="0031424B"/>
    <w:rsid w:val="003302C8"/>
    <w:rsid w:val="003378D8"/>
    <w:rsid w:val="00342CE7"/>
    <w:rsid w:val="00344403"/>
    <w:rsid w:val="00346369"/>
    <w:rsid w:val="00354686"/>
    <w:rsid w:val="003564D4"/>
    <w:rsid w:val="00362332"/>
    <w:rsid w:val="00366DB1"/>
    <w:rsid w:val="00371953"/>
    <w:rsid w:val="003776EF"/>
    <w:rsid w:val="00384E08"/>
    <w:rsid w:val="00386192"/>
    <w:rsid w:val="003A3884"/>
    <w:rsid w:val="003B34B6"/>
    <w:rsid w:val="003B552D"/>
    <w:rsid w:val="003C2090"/>
    <w:rsid w:val="003C2459"/>
    <w:rsid w:val="003D3424"/>
    <w:rsid w:val="003F5557"/>
    <w:rsid w:val="003F71B7"/>
    <w:rsid w:val="00402048"/>
    <w:rsid w:val="00403089"/>
    <w:rsid w:val="00410FDB"/>
    <w:rsid w:val="004234CB"/>
    <w:rsid w:val="00437F58"/>
    <w:rsid w:val="004502A3"/>
    <w:rsid w:val="00455620"/>
    <w:rsid w:val="00460393"/>
    <w:rsid w:val="0046690B"/>
    <w:rsid w:val="0047109F"/>
    <w:rsid w:val="004767B7"/>
    <w:rsid w:val="00485650"/>
    <w:rsid w:val="0048574A"/>
    <w:rsid w:val="00493071"/>
    <w:rsid w:val="004969DA"/>
    <w:rsid w:val="004B4835"/>
    <w:rsid w:val="004B59B0"/>
    <w:rsid w:val="004C1BD8"/>
    <w:rsid w:val="004C5D19"/>
    <w:rsid w:val="004D2294"/>
    <w:rsid w:val="004E0F59"/>
    <w:rsid w:val="004E6C10"/>
    <w:rsid w:val="004F232E"/>
    <w:rsid w:val="004F6CBA"/>
    <w:rsid w:val="005007DD"/>
    <w:rsid w:val="00506BD5"/>
    <w:rsid w:val="00552897"/>
    <w:rsid w:val="00553C56"/>
    <w:rsid w:val="00555FDD"/>
    <w:rsid w:val="00567493"/>
    <w:rsid w:val="00572537"/>
    <w:rsid w:val="00576006"/>
    <w:rsid w:val="00582857"/>
    <w:rsid w:val="0058523C"/>
    <w:rsid w:val="00586551"/>
    <w:rsid w:val="005A3D0C"/>
    <w:rsid w:val="005A3E44"/>
    <w:rsid w:val="005B0663"/>
    <w:rsid w:val="005B7DA8"/>
    <w:rsid w:val="005C1397"/>
    <w:rsid w:val="005C5A74"/>
    <w:rsid w:val="005E0AC7"/>
    <w:rsid w:val="00613454"/>
    <w:rsid w:val="00617CF1"/>
    <w:rsid w:val="00622104"/>
    <w:rsid w:val="00626A09"/>
    <w:rsid w:val="0062795D"/>
    <w:rsid w:val="00632E75"/>
    <w:rsid w:val="0064147B"/>
    <w:rsid w:val="00645F5F"/>
    <w:rsid w:val="00651377"/>
    <w:rsid w:val="00652933"/>
    <w:rsid w:val="00653B45"/>
    <w:rsid w:val="006601D8"/>
    <w:rsid w:val="0066146B"/>
    <w:rsid w:val="00686099"/>
    <w:rsid w:val="0069367E"/>
    <w:rsid w:val="006A7FF1"/>
    <w:rsid w:val="006B1634"/>
    <w:rsid w:val="006C0E08"/>
    <w:rsid w:val="006D5E23"/>
    <w:rsid w:val="006E2639"/>
    <w:rsid w:val="007015D4"/>
    <w:rsid w:val="00707499"/>
    <w:rsid w:val="00712AAD"/>
    <w:rsid w:val="00715E45"/>
    <w:rsid w:val="00722E6A"/>
    <w:rsid w:val="00727610"/>
    <w:rsid w:val="00731313"/>
    <w:rsid w:val="00731CAD"/>
    <w:rsid w:val="00735411"/>
    <w:rsid w:val="0074033D"/>
    <w:rsid w:val="00754F13"/>
    <w:rsid w:val="007657C5"/>
    <w:rsid w:val="00767DD6"/>
    <w:rsid w:val="00775056"/>
    <w:rsid w:val="007823C5"/>
    <w:rsid w:val="00791978"/>
    <w:rsid w:val="007920A8"/>
    <w:rsid w:val="00796656"/>
    <w:rsid w:val="007B1022"/>
    <w:rsid w:val="007B1AD9"/>
    <w:rsid w:val="007B4FB4"/>
    <w:rsid w:val="007C1A4C"/>
    <w:rsid w:val="007D40A6"/>
    <w:rsid w:val="007D40D2"/>
    <w:rsid w:val="007E459E"/>
    <w:rsid w:val="007E604B"/>
    <w:rsid w:val="007F7A92"/>
    <w:rsid w:val="00802A9C"/>
    <w:rsid w:val="00807BA2"/>
    <w:rsid w:val="00813456"/>
    <w:rsid w:val="00816B99"/>
    <w:rsid w:val="0082510D"/>
    <w:rsid w:val="008341E1"/>
    <w:rsid w:val="008343C9"/>
    <w:rsid w:val="00836ADE"/>
    <w:rsid w:val="008451CF"/>
    <w:rsid w:val="008606FF"/>
    <w:rsid w:val="00867CB1"/>
    <w:rsid w:val="00872553"/>
    <w:rsid w:val="00891E37"/>
    <w:rsid w:val="00891FD6"/>
    <w:rsid w:val="008A37C1"/>
    <w:rsid w:val="008B115B"/>
    <w:rsid w:val="008B352B"/>
    <w:rsid w:val="008C1F5A"/>
    <w:rsid w:val="008C7D99"/>
    <w:rsid w:val="008E014A"/>
    <w:rsid w:val="008E1527"/>
    <w:rsid w:val="008F0D59"/>
    <w:rsid w:val="008F624C"/>
    <w:rsid w:val="00912626"/>
    <w:rsid w:val="00920153"/>
    <w:rsid w:val="00936F15"/>
    <w:rsid w:val="009473DF"/>
    <w:rsid w:val="00951614"/>
    <w:rsid w:val="009571F2"/>
    <w:rsid w:val="009614A8"/>
    <w:rsid w:val="00961F3E"/>
    <w:rsid w:val="00962279"/>
    <w:rsid w:val="00990354"/>
    <w:rsid w:val="009947E2"/>
    <w:rsid w:val="009A5B90"/>
    <w:rsid w:val="009B0621"/>
    <w:rsid w:val="009B7E2B"/>
    <w:rsid w:val="009C53B8"/>
    <w:rsid w:val="009D1C8C"/>
    <w:rsid w:val="009E02C4"/>
    <w:rsid w:val="009E03C2"/>
    <w:rsid w:val="009F0B8C"/>
    <w:rsid w:val="00A1487C"/>
    <w:rsid w:val="00A156DD"/>
    <w:rsid w:val="00A20785"/>
    <w:rsid w:val="00A22209"/>
    <w:rsid w:val="00A455BC"/>
    <w:rsid w:val="00AA29D9"/>
    <w:rsid w:val="00AA7ABF"/>
    <w:rsid w:val="00AC2AC0"/>
    <w:rsid w:val="00AC77FB"/>
    <w:rsid w:val="00AD0193"/>
    <w:rsid w:val="00AE0B49"/>
    <w:rsid w:val="00AE4272"/>
    <w:rsid w:val="00AE6C2D"/>
    <w:rsid w:val="00AF3064"/>
    <w:rsid w:val="00AF498E"/>
    <w:rsid w:val="00AF5EF4"/>
    <w:rsid w:val="00B02BEF"/>
    <w:rsid w:val="00B035A7"/>
    <w:rsid w:val="00B13020"/>
    <w:rsid w:val="00B14339"/>
    <w:rsid w:val="00B14E7C"/>
    <w:rsid w:val="00B31B3C"/>
    <w:rsid w:val="00B47CC0"/>
    <w:rsid w:val="00B572C1"/>
    <w:rsid w:val="00B668A7"/>
    <w:rsid w:val="00B83296"/>
    <w:rsid w:val="00B856A2"/>
    <w:rsid w:val="00B960E4"/>
    <w:rsid w:val="00BA15D7"/>
    <w:rsid w:val="00BB3162"/>
    <w:rsid w:val="00BB4BFD"/>
    <w:rsid w:val="00BB6404"/>
    <w:rsid w:val="00BC1AA8"/>
    <w:rsid w:val="00BC2408"/>
    <w:rsid w:val="00BC7E07"/>
    <w:rsid w:val="00BD6C68"/>
    <w:rsid w:val="00BE3E35"/>
    <w:rsid w:val="00BF167C"/>
    <w:rsid w:val="00C01360"/>
    <w:rsid w:val="00C04BBF"/>
    <w:rsid w:val="00C20D29"/>
    <w:rsid w:val="00C31382"/>
    <w:rsid w:val="00C329BB"/>
    <w:rsid w:val="00C36ADC"/>
    <w:rsid w:val="00C41BF5"/>
    <w:rsid w:val="00C448C0"/>
    <w:rsid w:val="00C50A11"/>
    <w:rsid w:val="00C5187F"/>
    <w:rsid w:val="00C54110"/>
    <w:rsid w:val="00C60C78"/>
    <w:rsid w:val="00C64382"/>
    <w:rsid w:val="00C76BD3"/>
    <w:rsid w:val="00C76ED1"/>
    <w:rsid w:val="00C80345"/>
    <w:rsid w:val="00C80ABC"/>
    <w:rsid w:val="00C82B3E"/>
    <w:rsid w:val="00C94B05"/>
    <w:rsid w:val="00CA01FC"/>
    <w:rsid w:val="00CC031A"/>
    <w:rsid w:val="00CC34CB"/>
    <w:rsid w:val="00CF3016"/>
    <w:rsid w:val="00CF3AB6"/>
    <w:rsid w:val="00CF57E4"/>
    <w:rsid w:val="00D029EB"/>
    <w:rsid w:val="00D11D5A"/>
    <w:rsid w:val="00D12282"/>
    <w:rsid w:val="00D232DC"/>
    <w:rsid w:val="00D33C1D"/>
    <w:rsid w:val="00D3463D"/>
    <w:rsid w:val="00D42108"/>
    <w:rsid w:val="00D63747"/>
    <w:rsid w:val="00D67A86"/>
    <w:rsid w:val="00D71C47"/>
    <w:rsid w:val="00D74DEC"/>
    <w:rsid w:val="00D830B0"/>
    <w:rsid w:val="00D92646"/>
    <w:rsid w:val="00DA527B"/>
    <w:rsid w:val="00DA5BD4"/>
    <w:rsid w:val="00DC3906"/>
    <w:rsid w:val="00DC4EAA"/>
    <w:rsid w:val="00DC746C"/>
    <w:rsid w:val="00DD7BDA"/>
    <w:rsid w:val="00DF58DF"/>
    <w:rsid w:val="00DF67B7"/>
    <w:rsid w:val="00E07FF1"/>
    <w:rsid w:val="00E11F14"/>
    <w:rsid w:val="00E120BD"/>
    <w:rsid w:val="00E1627A"/>
    <w:rsid w:val="00E21F33"/>
    <w:rsid w:val="00E316BD"/>
    <w:rsid w:val="00E328AF"/>
    <w:rsid w:val="00E362B4"/>
    <w:rsid w:val="00E61890"/>
    <w:rsid w:val="00E726B7"/>
    <w:rsid w:val="00E72E84"/>
    <w:rsid w:val="00E76188"/>
    <w:rsid w:val="00E846AE"/>
    <w:rsid w:val="00EA781E"/>
    <w:rsid w:val="00EB1BEA"/>
    <w:rsid w:val="00EC667E"/>
    <w:rsid w:val="00ED2F91"/>
    <w:rsid w:val="00F031B8"/>
    <w:rsid w:val="00F133CE"/>
    <w:rsid w:val="00F17982"/>
    <w:rsid w:val="00F208DD"/>
    <w:rsid w:val="00F3116E"/>
    <w:rsid w:val="00F363B6"/>
    <w:rsid w:val="00F410A3"/>
    <w:rsid w:val="00F762FE"/>
    <w:rsid w:val="00F834CC"/>
    <w:rsid w:val="00F910DB"/>
    <w:rsid w:val="00F9346A"/>
    <w:rsid w:val="00F9735A"/>
    <w:rsid w:val="00FA021F"/>
    <w:rsid w:val="00FA18DF"/>
    <w:rsid w:val="00FA66FD"/>
    <w:rsid w:val="00FB34EF"/>
    <w:rsid w:val="00FD64EA"/>
    <w:rsid w:val="00FE0DD9"/>
    <w:rsid w:val="00FE454A"/>
    <w:rsid w:val="00FE4C52"/>
    <w:rsid w:val="00FE5860"/>
    <w:rsid w:val="00FE630E"/>
    <w:rsid w:val="00FF534E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2</cp:revision>
  <dcterms:created xsi:type="dcterms:W3CDTF">2023-12-18T13:17:00Z</dcterms:created>
  <dcterms:modified xsi:type="dcterms:W3CDTF">2023-12-18T13:17:00Z</dcterms:modified>
</cp:coreProperties>
</file>