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4F" w:rsidRPr="0073494F" w:rsidRDefault="0073494F" w:rsidP="0073494F">
      <w:pPr>
        <w:pStyle w:val="Bezriadkovania"/>
        <w:rPr>
          <w:rStyle w:val="Nadpis3Char"/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73494F">
        <w:rPr>
          <w:rFonts w:ascii="Times New Roman" w:hAnsi="Times New Roman" w:cs="Times New Roman"/>
          <w:b/>
          <w:sz w:val="24"/>
          <w:szCs w:val="24"/>
        </w:rPr>
        <w:t>C</w:t>
      </w:r>
      <w:r w:rsidRPr="0073494F">
        <w:rPr>
          <w:rFonts w:ascii="Times New Roman" w:hAnsi="Times New Roman" w:cs="Times New Roman"/>
          <w:b/>
          <w:sz w:val="24"/>
          <w:szCs w:val="24"/>
        </w:rPr>
        <w:t xml:space="preserve">iele ochrany </w:t>
      </w:r>
      <w:r w:rsidRPr="0073494F">
        <w:rPr>
          <w:rStyle w:val="Nadpis3Char"/>
          <w:rFonts w:ascii="Times New Roman" w:hAnsi="Times New Roman" w:cs="Times New Roman"/>
          <w:b/>
          <w:color w:val="000000" w:themeColor="text1"/>
        </w:rPr>
        <w:t>SKUEV0920 Sokolia skala</w:t>
      </w:r>
    </w:p>
    <w:bookmarkEnd w:id="0"/>
    <w:p w:rsidR="0073494F" w:rsidRPr="00FA68E1" w:rsidRDefault="0073494F" w:rsidP="0073494F">
      <w:pPr>
        <w:rPr>
          <w:rFonts w:ascii="Times New Roman" w:hAnsi="Times New Roman" w:cs="Times New Roman"/>
          <w:sz w:val="24"/>
          <w:szCs w:val="24"/>
        </w:rPr>
      </w:pPr>
    </w:p>
    <w:p w:rsidR="0073494F" w:rsidRPr="00FA68E1" w:rsidRDefault="0073494F" w:rsidP="007349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Ls5.4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9150) </w:t>
      </w:r>
      <w:proofErr w:type="spellStart"/>
      <w:r w:rsidRPr="00FA68E1">
        <w:rPr>
          <w:rFonts w:ascii="Times New Roman" w:hAnsi="Times New Roman" w:cs="Times New Roman"/>
          <w:b/>
          <w:sz w:val="24"/>
          <w:szCs w:val="24"/>
        </w:rPr>
        <w:t>Vápnomilné</w:t>
      </w:r>
      <w:proofErr w:type="spellEnd"/>
      <w:r w:rsidRPr="00FA68E1">
        <w:rPr>
          <w:rFonts w:ascii="Times New Roman" w:hAnsi="Times New Roman" w:cs="Times New Roman"/>
          <w:b/>
          <w:sz w:val="24"/>
          <w:szCs w:val="24"/>
        </w:rPr>
        <w:t xml:space="preserve"> bukové lesy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73494F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73494F" w:rsidRPr="00FA68E1" w:rsidTr="00EF3711">
        <w:trPr>
          <w:trHeight w:val="10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Udržanie min. existujúcej výmery biotopu v ÚEV.</w:t>
            </w:r>
          </w:p>
        </w:tc>
      </w:tr>
      <w:tr w:rsidR="0073494F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73494F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Adenophora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liliifolia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Aquilegia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Calamagrostis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varia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),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persicifolia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Carduus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glaucinus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Cephalanthera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damasonium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erisithales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Corallorhiza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trifida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mattioli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Cyclamen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fatrense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Cypripedium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calceolus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anexový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druh),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Epipactis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microphylla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E.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muelleri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Hedera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helix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Laserpitium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latifolium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Pleurospermum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austriacum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stiriaca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saxatilis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virgaurea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73494F" w:rsidRPr="00FA68E1" w:rsidTr="00EF3711">
        <w:trPr>
          <w:trHeight w:val="62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a bylín.</w:t>
            </w:r>
          </w:p>
        </w:tc>
      </w:tr>
      <w:tr w:rsidR="0073494F" w:rsidRPr="00FA68E1" w:rsidTr="00EF3711">
        <w:trPr>
          <w:trHeight w:val="64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FA68E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A68E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:rsidR="0073494F" w:rsidRPr="00FA68E1" w:rsidRDefault="0073494F" w:rsidP="00734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494F" w:rsidRPr="00FA68E1" w:rsidRDefault="0073494F" w:rsidP="00734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245"/>
      </w:tblGrid>
      <w:tr w:rsidR="0073494F" w:rsidRPr="00FA68E1" w:rsidTr="00EF3711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73494F" w:rsidRPr="00FA68E1" w:rsidTr="00EF3711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10,27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73494F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73494F" w:rsidRPr="00FA68E1" w:rsidRDefault="0073494F" w:rsidP="00EF37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T.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U.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494F" w:rsidRPr="00FA68E1" w:rsidRDefault="0073494F" w:rsidP="00EF37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494F" w:rsidRPr="00FA68E1" w:rsidRDefault="0073494F" w:rsidP="00EF37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platanoides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Q.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T.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494F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matthioli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Hesperis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matronalis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subsp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nivea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Phyllitis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scolopendrium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494F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73494F" w:rsidRPr="00FA68E1" w:rsidTr="00EF3711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73494F" w:rsidRPr="00FA68E1" w:rsidRDefault="0073494F" w:rsidP="0073494F">
      <w:pPr>
        <w:pStyle w:val="Zkladntext"/>
        <w:widowControl w:val="0"/>
        <w:jc w:val="left"/>
        <w:rPr>
          <w:b w:val="0"/>
          <w:color w:val="000000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5389"/>
      </w:tblGrid>
      <w:tr w:rsidR="0073494F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73494F" w:rsidRPr="00FA68E1" w:rsidTr="00EF3711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73494F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pokrytia/16 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  <w:sz w:val="20"/>
          <w:szCs w:val="20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Pr3 (7220)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Penovcové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prameniská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5387"/>
      </w:tblGrid>
      <w:tr w:rsidR="0073494F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73494F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 nepôvodných a 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5387"/>
      </w:tblGrid>
      <w:tr w:rsidR="0073494F" w:rsidRPr="00FA68E1" w:rsidTr="00EF3711">
        <w:trPr>
          <w:trHeight w:val="482"/>
        </w:trPr>
        <w:tc>
          <w:tcPr>
            <w:tcW w:w="1702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275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0,75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carpatica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Mycelis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Phyllitis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scolopendrium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Primula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auricula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73494F" w:rsidRPr="00FA68E1" w:rsidRDefault="0073494F" w:rsidP="0073494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3494F" w:rsidRPr="00FA68E1" w:rsidRDefault="0073494F" w:rsidP="0073494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stavu biotopu</w:t>
      </w:r>
      <w:r w:rsidRPr="00FA68E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Sk6 (* 8160) Nespevnené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sutiny v montánnom až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kolínnom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stupni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5387"/>
      </w:tblGrid>
      <w:tr w:rsidR="0073494F" w:rsidRPr="00FA68E1" w:rsidTr="00EF3711">
        <w:trPr>
          <w:trHeight w:val="705"/>
        </w:trPr>
        <w:tc>
          <w:tcPr>
            <w:tcW w:w="1702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275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0,15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Bupleurum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</w:t>
            </w:r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carpatica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angustifolium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mollugo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Gymnocarpium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Microrrhinum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Parietaria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officinalis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sutinách.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73494F" w:rsidRPr="00FA68E1" w:rsidTr="00EF3711">
        <w:trPr>
          <w:trHeight w:val="448"/>
        </w:trPr>
        <w:tc>
          <w:tcPr>
            <w:tcW w:w="1702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73494F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494F" w:rsidRPr="00FA68E1" w:rsidRDefault="0073494F" w:rsidP="0073494F">
      <w:pPr>
        <w:pStyle w:val="Zkladntext"/>
        <w:widowControl w:val="0"/>
        <w:jc w:val="left"/>
      </w:pPr>
      <w:r w:rsidRPr="00FA68E1">
        <w:rPr>
          <w:b w:val="0"/>
          <w:color w:val="000000"/>
        </w:rPr>
        <w:t xml:space="preserve">Zachovanie </w:t>
      </w:r>
      <w:r w:rsidRPr="00FA68E1">
        <w:rPr>
          <w:b w:val="0"/>
        </w:rPr>
        <w:t xml:space="preserve">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7"/>
        <w:gridCol w:w="1483"/>
        <w:gridCol w:w="1178"/>
        <w:gridCol w:w="5477"/>
      </w:tblGrid>
      <w:tr w:rsidR="0073494F" w:rsidRPr="00FA68E1" w:rsidTr="00EF3711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73494F" w:rsidRPr="00FA68E1" w:rsidTr="00EF3711">
        <w:trPr>
          <w:trHeight w:val="2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Zachovanie súčasnej populácie druhu, ktorá sa vyskytuje v intervale 20 až 80 jedincov.</w:t>
            </w:r>
          </w:p>
        </w:tc>
      </w:tr>
      <w:tr w:rsidR="0073494F" w:rsidRPr="00FA68E1" w:rsidTr="00EF3711">
        <w:trPr>
          <w:trHeight w:val="28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0,02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73494F" w:rsidRPr="00FA68E1" w:rsidTr="00EF3711">
        <w:trPr>
          <w:trHeight w:val="93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</w:p>
        </w:tc>
      </w:tr>
      <w:tr w:rsidR="0073494F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73494F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</w:rPr>
      </w:pPr>
    </w:p>
    <w:p w:rsidR="0073494F" w:rsidRPr="00FA68E1" w:rsidRDefault="0073494F" w:rsidP="0073494F">
      <w:pPr>
        <w:pStyle w:val="Zkladntext"/>
        <w:widowControl w:val="0"/>
        <w:jc w:val="left"/>
        <w:rPr>
          <w:b w:val="0"/>
        </w:rPr>
      </w:pPr>
      <w:r w:rsidRPr="00FA68E1">
        <w:rPr>
          <w:b w:val="0"/>
        </w:rPr>
        <w:t xml:space="preserve">Zachovanie priaznivého stavu druhu </w:t>
      </w:r>
      <w:proofErr w:type="spellStart"/>
      <w:r w:rsidRPr="00FA68E1">
        <w:rPr>
          <w:i/>
        </w:rPr>
        <w:t>Sadleriana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pannonica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p w:rsidR="0073494F" w:rsidRPr="00FA68E1" w:rsidRDefault="0073494F" w:rsidP="0073494F">
      <w:pPr>
        <w:pStyle w:val="Zkladntext"/>
        <w:widowControl w:val="0"/>
        <w:jc w:val="left"/>
        <w:rPr>
          <w:b w:val="0"/>
          <w:color w:val="000000"/>
        </w:rPr>
      </w:pPr>
    </w:p>
    <w:tbl>
      <w:tblPr>
        <w:tblW w:w="5496" w:type="pct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52"/>
        <w:gridCol w:w="1564"/>
        <w:gridCol w:w="5879"/>
      </w:tblGrid>
      <w:tr w:rsidR="0073494F" w:rsidRPr="00FA68E1" w:rsidTr="00EF3711">
        <w:trPr>
          <w:trHeight w:val="31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31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50 000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Neznížená hodnota veľkosti populácie v území, v súčasnosti sa pohybuje od 10 000 do 50 000 jedincov.</w:t>
            </w:r>
          </w:p>
        </w:tc>
      </w:tr>
      <w:tr w:rsidR="0073494F" w:rsidRPr="00FA68E1" w:rsidTr="00EF3711">
        <w:trPr>
          <w:trHeight w:val="1307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priemer populácie na trvalej monitorovacej ploche v rozsahu 1000 jedincov na lokalite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vo vzorke na monitorovacej lokalite</w:t>
            </w:r>
          </w:p>
        </w:tc>
      </w:tr>
      <w:tr w:rsidR="0073494F" w:rsidRPr="00FA68E1" w:rsidTr="00EF3711">
        <w:trPr>
          <w:trHeight w:val="1307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biotopu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0,5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biotop druhu na minimálnej výmere 0,5 ha</w:t>
            </w:r>
          </w:p>
        </w:tc>
      </w:tr>
    </w:tbl>
    <w:p w:rsidR="0073494F" w:rsidRPr="00FA68E1" w:rsidRDefault="0073494F" w:rsidP="0073494F">
      <w:pPr>
        <w:pStyle w:val="Zkladntext"/>
        <w:widowControl w:val="0"/>
        <w:jc w:val="left"/>
        <w:rPr>
          <w:b w:val="0"/>
          <w:color w:val="000000"/>
        </w:rPr>
      </w:pPr>
    </w:p>
    <w:p w:rsidR="0073494F" w:rsidRPr="00FA68E1" w:rsidRDefault="0073494F" w:rsidP="0073494F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  <w:color w:val="000000"/>
          <w:lang w:eastAsia="sk-SK"/>
        </w:rPr>
        <w:t>Pholidoptera</w:t>
      </w:r>
      <w:proofErr w:type="spellEnd"/>
      <w:r w:rsidRPr="00FA68E1">
        <w:rPr>
          <w:i/>
          <w:color w:val="000000"/>
          <w:lang w:eastAsia="sk-SK"/>
        </w:rPr>
        <w:t xml:space="preserve"> </w:t>
      </w:r>
      <w:proofErr w:type="spellStart"/>
      <w:r w:rsidRPr="00FA68E1">
        <w:rPr>
          <w:i/>
          <w:color w:val="000000"/>
          <w:lang w:eastAsia="sk-SK"/>
        </w:rPr>
        <w:t>transsylvanica</w:t>
      </w:r>
      <w:proofErr w:type="spellEnd"/>
      <w:r w:rsidRPr="00FA68E1">
        <w:rPr>
          <w:b w:val="0"/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507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1943"/>
        <w:gridCol w:w="1491"/>
        <w:gridCol w:w="4508"/>
      </w:tblGrid>
      <w:tr w:rsidR="0073494F" w:rsidRPr="00FA68E1" w:rsidTr="00EF3711">
        <w:trPr>
          <w:trHeight w:val="31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31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do 100 jedincov, cieľom je stabilná populácia druhu v území</w:t>
            </w:r>
          </w:p>
        </w:tc>
      </w:tr>
      <w:tr w:rsidR="0073494F" w:rsidRPr="00FA68E1" w:rsidTr="00EF3711">
        <w:trPr>
          <w:trHeight w:val="62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Extenzívne obhospodarované lesy, ich okraje a lesné čistiny</w:t>
            </w:r>
          </w:p>
        </w:tc>
      </w:tr>
      <w:tr w:rsidR="0073494F" w:rsidRPr="00FA68E1" w:rsidTr="00EF3711">
        <w:trPr>
          <w:trHeight w:val="93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Zachovalá štruktúra Extenzívne obhospodarovaných lesov, ich okraje a lesné čistiny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</w:rPr>
      </w:pPr>
    </w:p>
    <w:p w:rsidR="0073494F" w:rsidRPr="00FA68E1" w:rsidRDefault="0073494F" w:rsidP="0073494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FA68E1">
        <w:rPr>
          <w:rFonts w:ascii="Times New Roman" w:hAnsi="Times New Roman" w:cs="Times New Roman"/>
        </w:rPr>
        <w:t xml:space="preserve">Zlepšenie stavu druhu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Rosalia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alpina</w:t>
      </w:r>
      <w:proofErr w:type="spellEnd"/>
      <w:r w:rsidRPr="00FA68E1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575"/>
        <w:gridCol w:w="1701"/>
        <w:gridCol w:w="3311"/>
      </w:tblGrid>
      <w:tr w:rsidR="0073494F" w:rsidRPr="00FA68E1" w:rsidTr="00EF3711">
        <w:trPr>
          <w:trHeight w:val="62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365277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62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 na  veľkosť populácie 100 – 500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aktuály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údaj / z SDF)</w:t>
            </w:r>
          </w:p>
        </w:tc>
      </w:tr>
      <w:tr w:rsidR="0073494F" w:rsidRPr="00FA68E1" w:rsidTr="00EF3711">
        <w:trPr>
          <w:trHeight w:val="9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charakteru ponechané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samovývoj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3494F" w:rsidRPr="00FA68E1" w:rsidTr="00EF3711">
        <w:trPr>
          <w:trHeight w:val="62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Rozloha biotopu ponechaná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samovývoj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11 ha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územie bez zásahu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</w:rPr>
      </w:pPr>
    </w:p>
    <w:p w:rsidR="0073494F" w:rsidRPr="00FA68E1" w:rsidRDefault="0073494F" w:rsidP="0073494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FA68E1">
        <w:rPr>
          <w:rFonts w:ascii="Times New Roman" w:hAnsi="Times New Roman" w:cs="Times New Roman"/>
        </w:rPr>
        <w:t xml:space="preserve">Zlepšenie stavu druhu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cervus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5481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365"/>
        <w:gridCol w:w="1664"/>
        <w:gridCol w:w="5089"/>
      </w:tblGrid>
      <w:tr w:rsidR="0073494F" w:rsidRPr="00FA68E1" w:rsidTr="00EF3711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Udržiavaná veľkosť populácie, v súčasnosti s 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apohybuje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od 100 do 1000  jedincov </w:t>
            </w:r>
          </w:p>
        </w:tc>
      </w:tr>
      <w:tr w:rsidR="0073494F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charakteru ponechané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samovývoj</w:t>
            </w:r>
            <w:proofErr w:type="spellEnd"/>
          </w:p>
        </w:tc>
      </w:tr>
      <w:tr w:rsidR="0073494F" w:rsidRPr="00FA68E1" w:rsidTr="00EF3711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Rozloha biotopu ponechaná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samovývoj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 ha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územie bez zásahu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  <w:sz w:val="24"/>
          <w:szCs w:val="24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819"/>
      </w:tblGrid>
      <w:tr w:rsidR="0073494F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 1 až 5 jedincov v rámci celého ÚEV na zimoviskách.</w:t>
            </w:r>
          </w:p>
        </w:tc>
      </w:tr>
      <w:tr w:rsidR="0073494F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zimovisko uvedeného druhu v rámci ÚEV.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819"/>
      </w:tblGrid>
      <w:tr w:rsidR="0073494F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 0 až 10 jedincov v rámci celého ÚEV na zimoviskách.</w:t>
            </w:r>
          </w:p>
        </w:tc>
      </w:tr>
      <w:tr w:rsidR="0073494F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 zimovisko uvedeného druhu v rámci ÚEV.</w:t>
            </w:r>
          </w:p>
        </w:tc>
      </w:tr>
      <w:tr w:rsidR="0073494F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daný druh.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819"/>
      </w:tblGrid>
      <w:tr w:rsidR="0073494F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Je evidovaný výskyt  0 až 5jedincov v rámci celého ÚEV na zimoviskách. </w:t>
            </w:r>
          </w:p>
        </w:tc>
      </w:tr>
      <w:tr w:rsidR="0073494F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 zimovisko uvedeného druhu v rámci ÚEV.</w:t>
            </w:r>
          </w:p>
        </w:tc>
      </w:tr>
      <w:tr w:rsidR="0073494F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daný druh.</w:t>
            </w:r>
          </w:p>
        </w:tc>
      </w:tr>
    </w:tbl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</w:rPr>
      </w:pPr>
    </w:p>
    <w:p w:rsidR="0073494F" w:rsidRPr="00FA68E1" w:rsidRDefault="0073494F" w:rsidP="007349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819"/>
      </w:tblGrid>
      <w:tr w:rsidR="0073494F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494F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početnosť 20 až 50 jedincov v rámci celého ÚEV. K poznaniu stavu populácie je potrebný monitoring v reprodukčnom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odbdobí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, ako aj počas zimovania. </w:t>
            </w:r>
          </w:p>
        </w:tc>
      </w:tr>
      <w:tr w:rsidR="0073494F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neevidujeme žiadne známe zimovisko uvedeného druhu.</w:t>
            </w:r>
          </w:p>
        </w:tc>
      </w:tr>
      <w:tr w:rsidR="0073494F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4F" w:rsidRPr="00FA68E1" w:rsidRDefault="0073494F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73494F" w:rsidRPr="00FA68E1" w:rsidRDefault="0073494F" w:rsidP="0073494F">
      <w:pPr>
        <w:rPr>
          <w:rFonts w:ascii="Times New Roman" w:hAnsi="Times New Roman" w:cs="Times New Roman"/>
          <w:sz w:val="24"/>
          <w:szCs w:val="24"/>
        </w:rPr>
      </w:pPr>
    </w:p>
    <w:p w:rsidR="0073494F" w:rsidRPr="00FA68E1" w:rsidRDefault="0073494F" w:rsidP="0073494F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F"/>
    <w:rsid w:val="004F7434"/>
    <w:rsid w:val="007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2C06"/>
  <w15:chartTrackingRefBased/>
  <w15:docId w15:val="{90D42740-7F33-4B5C-9513-E66810EE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94F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349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349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349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349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uiPriority w:val="1"/>
    <w:qFormat/>
    <w:rsid w:val="00734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2023-01-10T14:14:00Z</dcterms:created>
  <dcterms:modified xsi:type="dcterms:W3CDTF">2023-01-10T14:14:00Z</dcterms:modified>
</cp:coreProperties>
</file>