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50F659A1" w:rsidR="00E43A23" w:rsidRDefault="00EF1367" w:rsidP="00E43A23">
      <w:pPr>
        <w:pStyle w:val="Popis"/>
        <w:keepNext/>
        <w:spacing w:after="0"/>
        <w:rPr>
          <w:b/>
          <w:bCs/>
          <w:i w:val="0"/>
          <w:color w:val="auto"/>
          <w:sz w:val="28"/>
          <w:szCs w:val="28"/>
        </w:rPr>
      </w:pPr>
      <w:r>
        <w:rPr>
          <w:b/>
          <w:bCs/>
          <w:i w:val="0"/>
          <w:color w:val="auto"/>
          <w:sz w:val="28"/>
          <w:szCs w:val="28"/>
        </w:rPr>
        <w:t>SKUEV08</w:t>
      </w:r>
      <w:r w:rsidR="00417F87">
        <w:rPr>
          <w:b/>
          <w:bCs/>
          <w:i w:val="0"/>
          <w:color w:val="auto"/>
          <w:sz w:val="28"/>
          <w:szCs w:val="28"/>
        </w:rPr>
        <w:t>9</w:t>
      </w:r>
      <w:r w:rsidR="004F3EFB">
        <w:rPr>
          <w:b/>
          <w:bCs/>
          <w:i w:val="0"/>
          <w:color w:val="auto"/>
          <w:sz w:val="28"/>
          <w:szCs w:val="28"/>
        </w:rPr>
        <w:t>1</w:t>
      </w:r>
      <w:r w:rsidR="00E43A23" w:rsidRPr="00700F12">
        <w:rPr>
          <w:b/>
          <w:bCs/>
          <w:i w:val="0"/>
          <w:color w:val="auto"/>
          <w:sz w:val="28"/>
          <w:szCs w:val="28"/>
        </w:rPr>
        <w:t xml:space="preserve"> </w:t>
      </w:r>
      <w:r w:rsidR="004F3EFB">
        <w:rPr>
          <w:b/>
          <w:bCs/>
          <w:i w:val="0"/>
          <w:color w:val="auto"/>
          <w:sz w:val="28"/>
          <w:szCs w:val="28"/>
        </w:rPr>
        <w:t>Domanícke stráne</w:t>
      </w:r>
    </w:p>
    <w:p w14:paraId="440945C6" w14:textId="32C69E90" w:rsidR="00651A37" w:rsidRDefault="00651A37" w:rsidP="00651A37"/>
    <w:p w14:paraId="08BDC7CB" w14:textId="15D9606A" w:rsidR="00651A37" w:rsidRDefault="00651A37" w:rsidP="00651A37">
      <w:pPr>
        <w:rPr>
          <w:b/>
          <w:szCs w:val="24"/>
        </w:rPr>
      </w:pPr>
      <w:r w:rsidRPr="00651A37">
        <w:rPr>
          <w:b/>
          <w:szCs w:val="24"/>
        </w:rPr>
        <w:t>Ciele ochrany:</w:t>
      </w:r>
    </w:p>
    <w:p w14:paraId="7F28AD17" w14:textId="4CFE94D3" w:rsidR="00FE11A1" w:rsidRPr="00BA75B0" w:rsidRDefault="0014359B" w:rsidP="00FE11A1">
      <w:pPr>
        <w:rPr>
          <w:szCs w:val="24"/>
        </w:rPr>
      </w:pPr>
      <w:r>
        <w:rPr>
          <w:color w:val="000000"/>
          <w:szCs w:val="24"/>
        </w:rPr>
        <w:t xml:space="preserve">Zachovanie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A56FBE">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A56FBE">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5E9F3BD7" w:rsidR="00A56FBE" w:rsidRPr="00870D1F" w:rsidRDefault="004F3EFB" w:rsidP="00A56FBE">
            <w:pPr>
              <w:widowControl w:val="0"/>
              <w:jc w:val="center"/>
              <w:rPr>
                <w:color w:val="000000"/>
                <w:sz w:val="18"/>
                <w:szCs w:val="18"/>
              </w:rPr>
            </w:pPr>
            <w:r>
              <w:rPr>
                <w:color w:val="000000"/>
                <w:sz w:val="18"/>
                <w:szCs w:val="18"/>
              </w:rPr>
              <w:t>3</w:t>
            </w:r>
            <w:r w:rsidR="00A56FBE">
              <w:rPr>
                <w:color w:val="000000"/>
                <w:sz w:val="18"/>
                <w:szCs w:val="18"/>
              </w:rPr>
              <w:t xml:space="preserve"> ha</w:t>
            </w:r>
          </w:p>
        </w:tc>
        <w:tc>
          <w:tcPr>
            <w:tcW w:w="4504" w:type="dxa"/>
            <w:tcMar>
              <w:top w:w="100" w:type="dxa"/>
              <w:left w:w="100" w:type="dxa"/>
              <w:bottom w:w="100" w:type="dxa"/>
              <w:right w:w="100" w:type="dxa"/>
            </w:tcMar>
          </w:tcPr>
          <w:p w14:paraId="68A802CA" w14:textId="53C32962" w:rsidR="00A56FBE" w:rsidRPr="00870D1F" w:rsidRDefault="00A56FBE" w:rsidP="00E0018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w:t>
            </w:r>
          </w:p>
        </w:tc>
      </w:tr>
      <w:tr w:rsidR="00FE11A1" w:rsidRPr="00870D1F" w14:paraId="1256C7EA" w14:textId="77777777" w:rsidTr="00A56FBE">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A56FBE">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A56FBE">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A56FBE">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7F594384" w14:textId="77777777" w:rsidR="00FE11A1" w:rsidRPr="00870D1F" w:rsidRDefault="00FE11A1" w:rsidP="00625435">
            <w:pPr>
              <w:jc w:val="center"/>
              <w:rPr>
                <w:color w:val="000000"/>
                <w:sz w:val="18"/>
                <w:szCs w:val="18"/>
              </w:rPr>
            </w:pPr>
            <w:bookmarkStart w:id="0" w:name="_GoBack"/>
            <w:bookmarkEnd w:id="0"/>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44B7B3EC" w14:textId="3D550CC0" w:rsidR="00E43A23" w:rsidRPr="00B6615B" w:rsidRDefault="00417F87"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A56FBE">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A56FBE">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A56FBE">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1B3C0495" w:rsidR="00A56FBE" w:rsidRPr="00B6615B" w:rsidRDefault="004F3EFB" w:rsidP="00EA23C9">
            <w:pPr>
              <w:widowControl w:val="0"/>
              <w:jc w:val="center"/>
              <w:rPr>
                <w:sz w:val="18"/>
                <w:szCs w:val="18"/>
              </w:rPr>
            </w:pPr>
            <w:r>
              <w:rPr>
                <w:sz w:val="18"/>
                <w:szCs w:val="18"/>
              </w:rPr>
              <w:t xml:space="preserve">6 </w:t>
            </w:r>
            <w:r w:rsidR="00A56FBE">
              <w:rPr>
                <w:sz w:val="18"/>
                <w:szCs w:val="18"/>
              </w:rPr>
              <w:t>ha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09EF9FF6" w14:textId="17FBBD05" w:rsidR="00A56FBE" w:rsidRPr="00B6615B" w:rsidRDefault="00A56FBE" w:rsidP="00D76E2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 xml:space="preserve">ÚEV </w:t>
            </w:r>
          </w:p>
        </w:tc>
      </w:tr>
      <w:tr w:rsidR="00E43A23" w:rsidRPr="00B6615B" w14:paraId="7F8AE6CB" w14:textId="77777777" w:rsidTr="00A56FBE">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lastRenderedPageBreak/>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A56FBE">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A56FBE">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A56FBE">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7445B5F4" w14:textId="77777777" w:rsidR="000E3F32" w:rsidRPr="00D33C1D" w:rsidRDefault="000E3F32" w:rsidP="000E3F32">
      <w:pPr>
        <w:rPr>
          <w:color w:val="000000"/>
          <w:szCs w:val="24"/>
        </w:rPr>
      </w:pPr>
      <w:r>
        <w:rPr>
          <w:color w:val="000000"/>
          <w:szCs w:val="24"/>
        </w:rPr>
        <w:t xml:space="preserve">Zachovanie </w:t>
      </w:r>
      <w:r w:rsidRPr="00D33C1D">
        <w:rPr>
          <w:color w:val="000000"/>
          <w:szCs w:val="24"/>
        </w:rPr>
        <w:t xml:space="preserve">stavu biotopu </w:t>
      </w:r>
      <w:r>
        <w:rPr>
          <w:b/>
          <w:color w:val="000000"/>
          <w:szCs w:val="24"/>
        </w:rPr>
        <w:t>Kr6 (4</w:t>
      </w:r>
      <w:r w:rsidRPr="00D33C1D">
        <w:rPr>
          <w:b/>
          <w:color w:val="000000"/>
          <w:szCs w:val="24"/>
        </w:rPr>
        <w:t>0</w:t>
      </w:r>
      <w:r>
        <w:rPr>
          <w:b/>
          <w:color w:val="000000"/>
          <w:szCs w:val="24"/>
        </w:rPr>
        <w:t>A0*</w:t>
      </w:r>
      <w:r w:rsidRPr="00D33C1D">
        <w:rPr>
          <w:b/>
          <w:color w:val="000000"/>
          <w:szCs w:val="24"/>
        </w:rPr>
        <w:t xml:space="preserve">) </w:t>
      </w:r>
      <w:r>
        <w:rPr>
          <w:rFonts w:eastAsia="Times New Roman"/>
          <w:b/>
          <w:szCs w:val="24"/>
          <w:lang w:eastAsia="sk-SK"/>
        </w:rPr>
        <w:t xml:space="preserve">Xerotermné kroviny </w:t>
      </w:r>
      <w:r>
        <w:rPr>
          <w:rFonts w:eastAsia="Times New Roman"/>
          <w:szCs w:val="24"/>
          <w:lang w:eastAsia="sk-SK"/>
        </w:rPr>
        <w:t>za splnenia nasledovných atribútov:</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1512"/>
        <w:gridCol w:w="3401"/>
      </w:tblGrid>
      <w:tr w:rsidR="000E3F32" w:rsidRPr="00870D1F" w14:paraId="3B0D336E" w14:textId="77777777" w:rsidTr="002A4AEE">
        <w:trPr>
          <w:trHeight w:val="705"/>
        </w:trPr>
        <w:tc>
          <w:tcPr>
            <w:tcW w:w="2773" w:type="dxa"/>
            <w:shd w:val="clear" w:color="auto" w:fill="FFFFFF"/>
            <w:hideMark/>
          </w:tcPr>
          <w:p w14:paraId="316238BE"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Parameter</w:t>
            </w:r>
          </w:p>
        </w:tc>
        <w:tc>
          <w:tcPr>
            <w:tcW w:w="1249" w:type="dxa"/>
            <w:shd w:val="clear" w:color="auto" w:fill="FFFFFF"/>
            <w:hideMark/>
          </w:tcPr>
          <w:p w14:paraId="2027A878"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Merateľnosť</w:t>
            </w:r>
          </w:p>
        </w:tc>
        <w:tc>
          <w:tcPr>
            <w:tcW w:w="1512" w:type="dxa"/>
            <w:shd w:val="clear" w:color="auto" w:fill="FFFFFF"/>
            <w:hideMark/>
          </w:tcPr>
          <w:p w14:paraId="2C76B619" w14:textId="77777777" w:rsidR="000E3F32" w:rsidRPr="00870D1F" w:rsidRDefault="000E3F32" w:rsidP="002A4AEE">
            <w:pPr>
              <w:jc w:val="center"/>
              <w:rPr>
                <w:rFonts w:eastAsia="Times New Roman"/>
                <w:b/>
                <w:color w:val="000000"/>
                <w:sz w:val="20"/>
                <w:szCs w:val="20"/>
                <w:u w:val="single"/>
                <w:lang w:eastAsia="sk-SK"/>
              </w:rPr>
            </w:pPr>
            <w:r w:rsidRPr="00870D1F">
              <w:rPr>
                <w:b/>
                <w:color w:val="000000"/>
                <w:sz w:val="20"/>
                <w:szCs w:val="20"/>
              </w:rPr>
              <w:t>Cieľová hodnota</w:t>
            </w:r>
          </w:p>
        </w:tc>
        <w:tc>
          <w:tcPr>
            <w:tcW w:w="3401" w:type="dxa"/>
            <w:shd w:val="clear" w:color="auto" w:fill="FFFFFF"/>
            <w:hideMark/>
          </w:tcPr>
          <w:p w14:paraId="6134A0E4"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Doplnkové informácie</w:t>
            </w:r>
          </w:p>
        </w:tc>
      </w:tr>
      <w:tr w:rsidR="000E3F32" w:rsidRPr="00870D1F" w14:paraId="3D62D7C1" w14:textId="77777777" w:rsidTr="002A4AEE">
        <w:trPr>
          <w:trHeight w:val="290"/>
        </w:trPr>
        <w:tc>
          <w:tcPr>
            <w:tcW w:w="2773" w:type="dxa"/>
            <w:shd w:val="clear" w:color="auto" w:fill="FFFFFF"/>
            <w:vAlign w:val="bottom"/>
            <w:hideMark/>
          </w:tcPr>
          <w:p w14:paraId="047ACC5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Výmera biotopu</w:t>
            </w:r>
          </w:p>
        </w:tc>
        <w:tc>
          <w:tcPr>
            <w:tcW w:w="1249" w:type="dxa"/>
            <w:shd w:val="clear" w:color="auto" w:fill="FFFFFF"/>
            <w:vAlign w:val="bottom"/>
            <w:hideMark/>
          </w:tcPr>
          <w:p w14:paraId="75FD1298"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ha </w:t>
            </w:r>
          </w:p>
        </w:tc>
        <w:tc>
          <w:tcPr>
            <w:tcW w:w="1512" w:type="dxa"/>
            <w:shd w:val="clear" w:color="auto" w:fill="FFFFFF"/>
            <w:vAlign w:val="bottom"/>
          </w:tcPr>
          <w:p w14:paraId="08BF42E4" w14:textId="2EFC98E2" w:rsidR="000E3F32" w:rsidRPr="00870D1F" w:rsidRDefault="004F3EFB" w:rsidP="002A4AEE">
            <w:pPr>
              <w:jc w:val="center"/>
              <w:rPr>
                <w:rFonts w:eastAsia="Times New Roman"/>
                <w:color w:val="000000"/>
                <w:sz w:val="20"/>
                <w:szCs w:val="20"/>
                <w:lang w:eastAsia="sk-SK"/>
              </w:rPr>
            </w:pPr>
            <w:r>
              <w:rPr>
                <w:rFonts w:eastAsia="Times New Roman"/>
                <w:color w:val="000000"/>
                <w:sz w:val="20"/>
                <w:szCs w:val="20"/>
                <w:lang w:eastAsia="sk-SK"/>
              </w:rPr>
              <w:t>0,4</w:t>
            </w:r>
          </w:p>
        </w:tc>
        <w:tc>
          <w:tcPr>
            <w:tcW w:w="3401" w:type="dxa"/>
            <w:shd w:val="clear" w:color="auto" w:fill="FFFFFF"/>
            <w:vAlign w:val="bottom"/>
            <w:hideMark/>
          </w:tcPr>
          <w:p w14:paraId="2C75C71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Udržanie súč</w:t>
            </w:r>
            <w:r>
              <w:rPr>
                <w:rFonts w:eastAsia="Times New Roman"/>
                <w:color w:val="000000"/>
                <w:sz w:val="20"/>
                <w:szCs w:val="20"/>
                <w:lang w:eastAsia="sk-SK"/>
              </w:rPr>
              <w:t>asnej výmery biotopu</w:t>
            </w:r>
            <w:r w:rsidRPr="00870D1F">
              <w:rPr>
                <w:rFonts w:eastAsia="Times New Roman"/>
                <w:color w:val="000000"/>
                <w:sz w:val="20"/>
                <w:szCs w:val="20"/>
                <w:lang w:eastAsia="sk-SK"/>
              </w:rPr>
              <w:t>.</w:t>
            </w:r>
          </w:p>
        </w:tc>
      </w:tr>
      <w:tr w:rsidR="000E3F32" w:rsidRPr="00870D1F" w14:paraId="36F5E457" w14:textId="77777777" w:rsidTr="0021573C">
        <w:trPr>
          <w:trHeight w:val="416"/>
        </w:trPr>
        <w:tc>
          <w:tcPr>
            <w:tcW w:w="2773" w:type="dxa"/>
            <w:shd w:val="clear" w:color="auto" w:fill="FFFFFF"/>
            <w:vAlign w:val="bottom"/>
            <w:hideMark/>
          </w:tcPr>
          <w:p w14:paraId="13FBD544"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charakteristických druhov</w:t>
            </w:r>
          </w:p>
        </w:tc>
        <w:tc>
          <w:tcPr>
            <w:tcW w:w="1249" w:type="dxa"/>
            <w:shd w:val="clear" w:color="auto" w:fill="FFFFFF"/>
            <w:vAlign w:val="bottom"/>
            <w:hideMark/>
          </w:tcPr>
          <w:p w14:paraId="3F31567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počet druhov/16 m</w:t>
            </w:r>
            <w:r w:rsidRPr="00870D1F">
              <w:rPr>
                <w:rFonts w:eastAsia="Times New Roman"/>
                <w:color w:val="000000"/>
                <w:sz w:val="20"/>
                <w:szCs w:val="20"/>
                <w:vertAlign w:val="superscript"/>
                <w:lang w:eastAsia="sk-SK"/>
              </w:rPr>
              <w:t>2</w:t>
            </w:r>
          </w:p>
        </w:tc>
        <w:tc>
          <w:tcPr>
            <w:tcW w:w="1512" w:type="dxa"/>
            <w:shd w:val="clear" w:color="auto" w:fill="FFFFFF"/>
            <w:vAlign w:val="bottom"/>
            <w:hideMark/>
          </w:tcPr>
          <w:p w14:paraId="62CFC98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najmenej 5 druhov</w:t>
            </w:r>
          </w:p>
        </w:tc>
        <w:tc>
          <w:tcPr>
            <w:tcW w:w="3401" w:type="dxa"/>
            <w:shd w:val="clear" w:color="auto" w:fill="FFFFFF"/>
            <w:vAlign w:val="bottom"/>
            <w:hideMark/>
          </w:tcPr>
          <w:p w14:paraId="587260BC"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Charakteristické/typické druhové zloženie: </w:t>
            </w:r>
            <w:r w:rsidRPr="00870D1F">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0E3F32" w:rsidRPr="00870D1F" w14:paraId="593771A7" w14:textId="77777777" w:rsidTr="002A4AEE">
        <w:trPr>
          <w:trHeight w:val="290"/>
        </w:trPr>
        <w:tc>
          <w:tcPr>
            <w:tcW w:w="2773" w:type="dxa"/>
            <w:shd w:val="clear" w:color="auto" w:fill="FFFFFF"/>
            <w:vAlign w:val="bottom"/>
            <w:hideMark/>
          </w:tcPr>
          <w:p w14:paraId="1245A17E"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Vertikálna štruktúra biotopu</w:t>
            </w:r>
          </w:p>
        </w:tc>
        <w:tc>
          <w:tcPr>
            <w:tcW w:w="1249" w:type="dxa"/>
            <w:shd w:val="clear" w:color="auto" w:fill="FFFFFF"/>
            <w:vAlign w:val="bottom"/>
            <w:hideMark/>
          </w:tcPr>
          <w:p w14:paraId="145127F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 krovín a drevín /plocha biotopu</w:t>
            </w:r>
          </w:p>
        </w:tc>
        <w:tc>
          <w:tcPr>
            <w:tcW w:w="1512" w:type="dxa"/>
            <w:shd w:val="clear" w:color="auto" w:fill="FFFFFF"/>
            <w:vAlign w:val="bottom"/>
            <w:hideMark/>
          </w:tcPr>
          <w:p w14:paraId="08778D6C"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viac ako 50 % krovín, menej ako 20 % drevín</w:t>
            </w:r>
          </w:p>
        </w:tc>
        <w:tc>
          <w:tcPr>
            <w:tcW w:w="3401" w:type="dxa"/>
            <w:shd w:val="clear" w:color="auto" w:fill="FFFFFF"/>
            <w:vAlign w:val="bottom"/>
            <w:hideMark/>
          </w:tcPr>
          <w:p w14:paraId="6D79156A"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0E3F32" w:rsidRPr="00870D1F" w14:paraId="5B2B3EC8" w14:textId="77777777" w:rsidTr="002A4AEE">
        <w:trPr>
          <w:trHeight w:val="850"/>
        </w:trPr>
        <w:tc>
          <w:tcPr>
            <w:tcW w:w="2773" w:type="dxa"/>
            <w:shd w:val="clear" w:color="auto" w:fill="FFFFFF"/>
            <w:vAlign w:val="bottom"/>
            <w:hideMark/>
          </w:tcPr>
          <w:p w14:paraId="3F0FEE1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612E64D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pokrytia/25 m</w:t>
            </w:r>
            <w:r w:rsidRPr="00870D1F">
              <w:rPr>
                <w:rFonts w:eastAsia="Times New Roman"/>
                <w:color w:val="000000"/>
                <w:sz w:val="20"/>
                <w:szCs w:val="20"/>
                <w:vertAlign w:val="superscript"/>
                <w:lang w:eastAsia="sk-SK"/>
              </w:rPr>
              <w:t>2</w:t>
            </w:r>
          </w:p>
        </w:tc>
        <w:tc>
          <w:tcPr>
            <w:tcW w:w="1512" w:type="dxa"/>
            <w:shd w:val="clear" w:color="auto" w:fill="FFFFFF"/>
            <w:vAlign w:val="bottom"/>
            <w:hideMark/>
          </w:tcPr>
          <w:p w14:paraId="4BE0511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menej ako 1 %</w:t>
            </w:r>
          </w:p>
        </w:tc>
        <w:tc>
          <w:tcPr>
            <w:tcW w:w="3401" w:type="dxa"/>
            <w:shd w:val="clear" w:color="auto" w:fill="FFFFFF"/>
            <w:vAlign w:val="bottom"/>
            <w:hideMark/>
          </w:tcPr>
          <w:p w14:paraId="7792F0C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Minimálne zastúpenie expanzívnych druhov</w:t>
            </w:r>
            <w:r w:rsidRPr="00870D1F">
              <w:rPr>
                <w:rFonts w:eastAsia="Times New Roman"/>
                <w:i/>
                <w:color w:val="000000"/>
                <w:sz w:val="20"/>
                <w:szCs w:val="20"/>
                <w:lang w:eastAsia="sk-SK"/>
              </w:rPr>
              <w:t xml:space="preserve"> Arrhenatherum elatius, Calamagrostis epigejos, </w:t>
            </w:r>
            <w:r w:rsidRPr="00870D1F">
              <w:rPr>
                <w:rFonts w:eastAsia="Times New Roman"/>
                <w:color w:val="000000"/>
                <w:sz w:val="20"/>
                <w:szCs w:val="20"/>
                <w:lang w:eastAsia="sk-SK"/>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251465AF" w14:textId="77777777" w:rsidR="000E3F32" w:rsidRDefault="000E3F32" w:rsidP="000E3F32">
      <w:pPr>
        <w:rPr>
          <w:color w:val="000000"/>
          <w:szCs w:val="24"/>
        </w:rPr>
      </w:pPr>
    </w:p>
    <w:p w14:paraId="681405BD" w14:textId="77777777" w:rsidR="004928EA" w:rsidRPr="00FA68E1" w:rsidRDefault="004928EA" w:rsidP="004928EA">
      <w:pPr>
        <w:rPr>
          <w:color w:val="000000"/>
          <w:szCs w:val="24"/>
        </w:rPr>
      </w:pPr>
      <w:r>
        <w:rPr>
          <w:color w:val="000000"/>
          <w:szCs w:val="24"/>
        </w:rPr>
        <w:t xml:space="preserve">Zachovanie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4928EA" w:rsidRPr="00FA68E1" w14:paraId="3B15DE1B" w14:textId="77777777" w:rsidTr="002A4AEE">
        <w:trPr>
          <w:trHeight w:val="705"/>
        </w:trPr>
        <w:tc>
          <w:tcPr>
            <w:tcW w:w="1799" w:type="dxa"/>
            <w:shd w:val="clear" w:color="auto" w:fill="auto"/>
            <w:hideMark/>
          </w:tcPr>
          <w:p w14:paraId="632D1AB8"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466F6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0D1467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62DC5E2D"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Poznámky/Doplňujúce informácie</w:t>
            </w:r>
          </w:p>
        </w:tc>
      </w:tr>
      <w:tr w:rsidR="004928EA" w:rsidRPr="00FA68E1" w14:paraId="76F39DA8" w14:textId="77777777" w:rsidTr="002A4AEE">
        <w:trPr>
          <w:trHeight w:val="290"/>
        </w:trPr>
        <w:tc>
          <w:tcPr>
            <w:tcW w:w="1799" w:type="dxa"/>
            <w:shd w:val="clear" w:color="auto" w:fill="auto"/>
            <w:vAlign w:val="center"/>
            <w:hideMark/>
          </w:tcPr>
          <w:p w14:paraId="50F6920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1E4C85FC"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78BCE8EA" w14:textId="4763366B" w:rsidR="004928EA" w:rsidRPr="00FA68E1" w:rsidRDefault="004F3EFB" w:rsidP="002A4AEE">
            <w:pPr>
              <w:rPr>
                <w:rFonts w:eastAsia="Times New Roman"/>
                <w:color w:val="000000"/>
                <w:sz w:val="20"/>
                <w:szCs w:val="20"/>
                <w:lang w:eastAsia="sk-SK"/>
              </w:rPr>
            </w:pPr>
            <w:r>
              <w:rPr>
                <w:rFonts w:eastAsia="Times New Roman"/>
                <w:color w:val="000000"/>
                <w:sz w:val="20"/>
                <w:szCs w:val="20"/>
                <w:lang w:eastAsia="sk-SK"/>
              </w:rPr>
              <w:t>1,12</w:t>
            </w:r>
          </w:p>
        </w:tc>
        <w:tc>
          <w:tcPr>
            <w:tcW w:w="5196" w:type="dxa"/>
            <w:shd w:val="clear" w:color="auto" w:fill="auto"/>
            <w:vAlign w:val="center"/>
            <w:hideMark/>
          </w:tcPr>
          <w:p w14:paraId="02404715"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4928EA" w:rsidRPr="00FA68E1" w14:paraId="28D79F32" w14:textId="77777777" w:rsidTr="002A4AEE">
        <w:trPr>
          <w:trHeight w:val="563"/>
        </w:trPr>
        <w:tc>
          <w:tcPr>
            <w:tcW w:w="1799" w:type="dxa"/>
            <w:shd w:val="clear" w:color="auto" w:fill="auto"/>
            <w:vAlign w:val="center"/>
            <w:hideMark/>
          </w:tcPr>
          <w:p w14:paraId="7AF43C9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6C5D98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6F37EEE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4FD6123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6285248A" w14:textId="77777777" w:rsidR="004928EA" w:rsidRPr="00FA68E1" w:rsidRDefault="004928EA" w:rsidP="002A4AEE">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4928EA" w:rsidRPr="00FA68E1" w14:paraId="68ED7380" w14:textId="77777777" w:rsidTr="002A4AEE">
        <w:trPr>
          <w:trHeight w:val="290"/>
        </w:trPr>
        <w:tc>
          <w:tcPr>
            <w:tcW w:w="1799" w:type="dxa"/>
            <w:shd w:val="clear" w:color="auto" w:fill="auto"/>
            <w:vAlign w:val="center"/>
            <w:hideMark/>
          </w:tcPr>
          <w:p w14:paraId="73030B91"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56DFA1AD"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5C4A482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28C000D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4928EA" w:rsidRPr="00FA68E1" w14:paraId="331E0DA6" w14:textId="77777777" w:rsidTr="002A4AEE">
        <w:trPr>
          <w:trHeight w:val="404"/>
        </w:trPr>
        <w:tc>
          <w:tcPr>
            <w:tcW w:w="1799" w:type="dxa"/>
            <w:shd w:val="clear" w:color="auto" w:fill="auto"/>
            <w:vAlign w:val="center"/>
            <w:hideMark/>
          </w:tcPr>
          <w:p w14:paraId="7874DA33"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35E3DB87"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01698D68"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49628D92" w14:textId="77777777" w:rsidR="004928EA" w:rsidRPr="00FA68E1" w:rsidRDefault="004928EA" w:rsidP="002A4AEE">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64DDFC1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26F05D12" w14:textId="480FC782" w:rsidR="00E434CB" w:rsidRDefault="00E434CB" w:rsidP="00E43A23">
      <w:pPr>
        <w:rPr>
          <w:rFonts w:eastAsia="Times New Roman"/>
          <w:sz w:val="20"/>
          <w:szCs w:val="20"/>
          <w:lang w:eastAsia="sk-SK"/>
        </w:rPr>
      </w:pPr>
    </w:p>
    <w:sectPr w:rsidR="00E434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D352" w14:textId="77777777" w:rsidR="0004618D" w:rsidRDefault="0004618D" w:rsidP="00A516AA">
      <w:pPr>
        <w:spacing w:after="0"/>
      </w:pPr>
      <w:r>
        <w:separator/>
      </w:r>
    </w:p>
  </w:endnote>
  <w:endnote w:type="continuationSeparator" w:id="0">
    <w:p w14:paraId="4A70E856" w14:textId="77777777" w:rsidR="0004618D" w:rsidRDefault="0004618D"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36188" w14:textId="77777777" w:rsidR="0004618D" w:rsidRDefault="0004618D" w:rsidP="00A516AA">
      <w:pPr>
        <w:spacing w:after="0"/>
      </w:pPr>
      <w:r>
        <w:separator/>
      </w:r>
    </w:p>
  </w:footnote>
  <w:footnote w:type="continuationSeparator" w:id="0">
    <w:p w14:paraId="5B9AD66B" w14:textId="77777777" w:rsidR="0004618D" w:rsidRDefault="0004618D"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4618D"/>
    <w:rsid w:val="000A4F43"/>
    <w:rsid w:val="000B4C34"/>
    <w:rsid w:val="000E3F32"/>
    <w:rsid w:val="0014359B"/>
    <w:rsid w:val="00183853"/>
    <w:rsid w:val="001A0271"/>
    <w:rsid w:val="0021573C"/>
    <w:rsid w:val="0026494F"/>
    <w:rsid w:val="00264A27"/>
    <w:rsid w:val="002F28F2"/>
    <w:rsid w:val="00301394"/>
    <w:rsid w:val="003071C9"/>
    <w:rsid w:val="00313DEF"/>
    <w:rsid w:val="00321398"/>
    <w:rsid w:val="0034343B"/>
    <w:rsid w:val="00343535"/>
    <w:rsid w:val="00350199"/>
    <w:rsid w:val="0035565F"/>
    <w:rsid w:val="0036159F"/>
    <w:rsid w:val="003D301F"/>
    <w:rsid w:val="003E6A99"/>
    <w:rsid w:val="003F63E7"/>
    <w:rsid w:val="00417F87"/>
    <w:rsid w:val="004928EA"/>
    <w:rsid w:val="004C4C1C"/>
    <w:rsid w:val="004D243E"/>
    <w:rsid w:val="004F3EFB"/>
    <w:rsid w:val="004F7434"/>
    <w:rsid w:val="00502B5E"/>
    <w:rsid w:val="00512EAC"/>
    <w:rsid w:val="005336D5"/>
    <w:rsid w:val="00625435"/>
    <w:rsid w:val="006256BD"/>
    <w:rsid w:val="00631007"/>
    <w:rsid w:val="006373A5"/>
    <w:rsid w:val="00651A37"/>
    <w:rsid w:val="00684B9A"/>
    <w:rsid w:val="006879C3"/>
    <w:rsid w:val="006C1712"/>
    <w:rsid w:val="00700C16"/>
    <w:rsid w:val="00700F12"/>
    <w:rsid w:val="007230F8"/>
    <w:rsid w:val="00723DDF"/>
    <w:rsid w:val="00730E44"/>
    <w:rsid w:val="007B2A99"/>
    <w:rsid w:val="007E17F5"/>
    <w:rsid w:val="008164C6"/>
    <w:rsid w:val="00830186"/>
    <w:rsid w:val="008C1B97"/>
    <w:rsid w:val="009248FD"/>
    <w:rsid w:val="0094719B"/>
    <w:rsid w:val="00962405"/>
    <w:rsid w:val="00987279"/>
    <w:rsid w:val="009C4997"/>
    <w:rsid w:val="009C73B3"/>
    <w:rsid w:val="009D4519"/>
    <w:rsid w:val="009D52DF"/>
    <w:rsid w:val="009D7D89"/>
    <w:rsid w:val="00A06BA0"/>
    <w:rsid w:val="00A37802"/>
    <w:rsid w:val="00A516AA"/>
    <w:rsid w:val="00A56FBE"/>
    <w:rsid w:val="00A64F08"/>
    <w:rsid w:val="00AB2F48"/>
    <w:rsid w:val="00B008DA"/>
    <w:rsid w:val="00B57BEC"/>
    <w:rsid w:val="00BC5436"/>
    <w:rsid w:val="00BF5D05"/>
    <w:rsid w:val="00C50285"/>
    <w:rsid w:val="00D04E67"/>
    <w:rsid w:val="00D76E2E"/>
    <w:rsid w:val="00D97258"/>
    <w:rsid w:val="00DE7E8F"/>
    <w:rsid w:val="00E0018E"/>
    <w:rsid w:val="00E179EE"/>
    <w:rsid w:val="00E208D4"/>
    <w:rsid w:val="00E30B59"/>
    <w:rsid w:val="00E434CB"/>
    <w:rsid w:val="00E43A23"/>
    <w:rsid w:val="00E65D6B"/>
    <w:rsid w:val="00EA1DAE"/>
    <w:rsid w:val="00EA23C9"/>
    <w:rsid w:val="00EE4E7B"/>
    <w:rsid w:val="00EE5EEB"/>
    <w:rsid w:val="00EF1367"/>
    <w:rsid w:val="00F1011F"/>
    <w:rsid w:val="00F40798"/>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09738726">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72025425">
      <w:bodyDiv w:val="1"/>
      <w:marLeft w:val="0"/>
      <w:marRight w:val="0"/>
      <w:marTop w:val="0"/>
      <w:marBottom w:val="0"/>
      <w:divBdr>
        <w:top w:val="none" w:sz="0" w:space="0" w:color="auto"/>
        <w:left w:val="none" w:sz="0" w:space="0" w:color="auto"/>
        <w:bottom w:val="none" w:sz="0" w:space="0" w:color="auto"/>
        <w:right w:val="none" w:sz="0" w:space="0" w:color="auto"/>
      </w:divBdr>
    </w:div>
    <w:div w:id="680593433">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087773420">
      <w:bodyDiv w:val="1"/>
      <w:marLeft w:val="0"/>
      <w:marRight w:val="0"/>
      <w:marTop w:val="0"/>
      <w:marBottom w:val="0"/>
      <w:divBdr>
        <w:top w:val="none" w:sz="0" w:space="0" w:color="auto"/>
        <w:left w:val="none" w:sz="0" w:space="0" w:color="auto"/>
        <w:bottom w:val="none" w:sz="0" w:space="0" w:color="auto"/>
        <w:right w:val="none" w:sz="0" w:space="0" w:color="auto"/>
      </w:divBdr>
    </w:div>
    <w:div w:id="1658026448">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50022937">
      <w:bodyDiv w:val="1"/>
      <w:marLeft w:val="0"/>
      <w:marRight w:val="0"/>
      <w:marTop w:val="0"/>
      <w:marBottom w:val="0"/>
      <w:divBdr>
        <w:top w:val="none" w:sz="0" w:space="0" w:color="auto"/>
        <w:left w:val="none" w:sz="0" w:space="0" w:color="auto"/>
        <w:bottom w:val="none" w:sz="0" w:space="0" w:color="auto"/>
        <w:right w:val="none" w:sz="0" w:space="0" w:color="auto"/>
      </w:divBdr>
    </w:div>
    <w:div w:id="1877429213">
      <w:bodyDiv w:val="1"/>
      <w:marLeft w:val="0"/>
      <w:marRight w:val="0"/>
      <w:marTop w:val="0"/>
      <w:marBottom w:val="0"/>
      <w:divBdr>
        <w:top w:val="none" w:sz="0" w:space="0" w:color="auto"/>
        <w:left w:val="none" w:sz="0" w:space="0" w:color="auto"/>
        <w:bottom w:val="none" w:sz="0" w:space="0" w:color="auto"/>
        <w:right w:val="none" w:sz="0" w:space="0" w:color="auto"/>
      </w:divBdr>
    </w:div>
    <w:div w:id="20397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3EBB-CF74-474A-92CB-BF253E16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5222</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2024-01-15T07:23:00Z</dcterms:created>
  <dcterms:modified xsi:type="dcterms:W3CDTF">2024-01-15T07:23:00Z</dcterms:modified>
</cp:coreProperties>
</file>