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669A040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610B1E">
        <w:rPr>
          <w:rFonts w:ascii="Times New Roman" w:hAnsi="Times New Roman" w:cs="Times New Roman"/>
          <w:b/>
          <w:sz w:val="28"/>
          <w:szCs w:val="28"/>
        </w:rPr>
        <w:t>085</w:t>
      </w:r>
      <w:r w:rsidR="006C12D6">
        <w:rPr>
          <w:rFonts w:ascii="Times New Roman" w:hAnsi="Times New Roman" w:cs="Times New Roman"/>
          <w:b/>
          <w:sz w:val="28"/>
          <w:szCs w:val="28"/>
        </w:rPr>
        <w:t>2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B1E">
        <w:rPr>
          <w:rFonts w:ascii="Times New Roman" w:hAnsi="Times New Roman" w:cs="Times New Roman"/>
          <w:b/>
          <w:sz w:val="28"/>
          <w:szCs w:val="28"/>
        </w:rPr>
        <w:t>Váh</w:t>
      </w:r>
      <w:proofErr w:type="spellEnd"/>
      <w:r w:rsidR="00610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B1E">
        <w:rPr>
          <w:rFonts w:ascii="Times New Roman" w:hAnsi="Times New Roman" w:cs="Times New Roman"/>
          <w:b/>
          <w:sz w:val="28"/>
          <w:szCs w:val="28"/>
        </w:rPr>
        <w:t>pri</w:t>
      </w:r>
      <w:proofErr w:type="spellEnd"/>
      <w:r w:rsidR="00610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B1E">
        <w:rPr>
          <w:rFonts w:ascii="Times New Roman" w:hAnsi="Times New Roman" w:cs="Times New Roman"/>
          <w:b/>
          <w:sz w:val="28"/>
          <w:szCs w:val="28"/>
        </w:rPr>
        <w:t>Hlohovci</w:t>
      </w:r>
      <w:proofErr w:type="spellEnd"/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5D359848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5EE709D6" w14:textId="1B6EC5C4" w:rsidR="000C506D" w:rsidRPr="000C506D" w:rsidRDefault="000C506D" w:rsidP="00943463">
      <w:pPr>
        <w:pStyle w:val="Zkladntext"/>
        <w:widowControl w:val="0"/>
        <w:spacing w:after="120"/>
        <w:jc w:val="both"/>
        <w:rPr>
          <w:b w:val="0"/>
          <w:color w:val="000000" w:themeColor="text1"/>
        </w:rPr>
      </w:pPr>
      <w:r w:rsidRPr="000C506D">
        <w:rPr>
          <w:b w:val="0"/>
          <w:color w:val="000000" w:themeColor="text1"/>
        </w:rPr>
        <w:t xml:space="preserve">Zachovanie stavu biotopu </w:t>
      </w:r>
      <w:r>
        <w:rPr>
          <w:color w:val="000000" w:themeColor="text1"/>
        </w:rPr>
        <w:t xml:space="preserve">Vo2 (3150) Prirodzené </w:t>
      </w:r>
      <w:proofErr w:type="spellStart"/>
      <w:r>
        <w:rPr>
          <w:color w:val="000000" w:themeColor="text1"/>
        </w:rPr>
        <w:t>eutrofné</w:t>
      </w:r>
      <w:proofErr w:type="spellEnd"/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mezotrofné</w:t>
      </w:r>
      <w:proofErr w:type="spellEnd"/>
      <w:r>
        <w:rPr>
          <w:color w:val="000000" w:themeColor="text1"/>
        </w:rPr>
        <w:t xml:space="preserve"> stojaté vody s vegetáciou plávajúcich a/alebo ponorených cievnatých rastlín typu </w:t>
      </w:r>
      <w:proofErr w:type="spellStart"/>
      <w:r>
        <w:rPr>
          <w:color w:val="000000" w:themeColor="text1"/>
        </w:rPr>
        <w:t>Magnopotamion</w:t>
      </w:r>
      <w:proofErr w:type="spellEnd"/>
      <w:r>
        <w:rPr>
          <w:color w:val="000000" w:themeColor="text1"/>
        </w:rPr>
        <w:t xml:space="preserve"> alebo </w:t>
      </w:r>
      <w:proofErr w:type="spellStart"/>
      <w:r>
        <w:rPr>
          <w:color w:val="000000" w:themeColor="text1"/>
        </w:rPr>
        <w:t>Hydrocharition</w:t>
      </w:r>
      <w:proofErr w:type="spellEnd"/>
      <w:r>
        <w:rPr>
          <w:color w:val="000000" w:themeColor="text1"/>
        </w:rPr>
        <w:t xml:space="preserve"> </w:t>
      </w:r>
      <w:r>
        <w:rPr>
          <w:b w:val="0"/>
          <w:color w:val="000000" w:themeColor="text1"/>
        </w:rPr>
        <w:t>za splnenia nasledovných atribútov:</w:t>
      </w:r>
    </w:p>
    <w:tbl>
      <w:tblPr>
        <w:tblW w:w="4956" w:type="pct"/>
        <w:tblInd w:w="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1303"/>
        <w:gridCol w:w="1561"/>
        <w:gridCol w:w="4532"/>
      </w:tblGrid>
      <w:tr w:rsidR="000C506D" w:rsidRPr="000C506D" w14:paraId="540D73C0" w14:textId="77777777" w:rsidTr="000C506D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7D3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E5F6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062D" w14:textId="77777777" w:rsidR="000C506D" w:rsidRPr="000C506D" w:rsidRDefault="000C506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5D732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0C506D" w:rsidRPr="000C506D" w14:paraId="4DF0C612" w14:textId="77777777" w:rsidTr="000C506D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7DBE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</w:t>
            </w:r>
            <w:proofErr w:type="spellEnd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AB890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64A5" w14:textId="2DF2BB44" w:rsidR="000C506D" w:rsidRPr="000C506D" w:rsidRDefault="000C506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gram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D0334" w14:textId="58F5C548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Udržať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výmeru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vodných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plôch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sústave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mŕtvych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ramien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06D" w:rsidRPr="000C506D" w14:paraId="6A56E5F4" w14:textId="77777777" w:rsidTr="000C506D">
        <w:trPr>
          <w:trHeight w:val="59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B74C3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charakteristických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169B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/25 m</w:t>
            </w:r>
            <w:r w:rsidRPr="000C50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F3A3C" w14:textId="77777777" w:rsidR="000C506D" w:rsidRPr="000C506D" w:rsidRDefault="000C506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</w:t>
            </w:r>
            <w:proofErr w:type="spellEnd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C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9E871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Charakteristické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typické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druhové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zloženie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Batrachium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aquatile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demersum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submersum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Lemna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minor,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Myriophyllum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spicatum, M.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Najas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minor,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Nuphar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lutea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Nymphaea alba,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Nymphoides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peltata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Utricularia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vulgaris,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Utrucularia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australis</w:t>
            </w:r>
            <w:proofErr w:type="spellEnd"/>
            <w:r w:rsidRPr="000C506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06D" w:rsidRPr="000C506D" w14:paraId="127246B2" w14:textId="77777777" w:rsidTr="000C506D">
        <w:trPr>
          <w:trHeight w:val="58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0B69B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invázne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správajúcich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A208A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pokrytia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/25 m</w:t>
            </w:r>
            <w:r w:rsidRPr="000C50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F2BDF" w14:textId="77777777" w:rsidR="000C506D" w:rsidRPr="000C506D" w:rsidRDefault="000C506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2C668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Žiadny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výskyt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nepôvodných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</w:tr>
      <w:tr w:rsidR="000C506D" w:rsidRPr="000C506D" w14:paraId="64D36BD5" w14:textId="77777777" w:rsidTr="000C506D">
        <w:trPr>
          <w:trHeight w:val="269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D602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Kvalita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4DF2B" w14:textId="77777777" w:rsidR="000C506D" w:rsidRPr="000C506D" w:rsidRDefault="000C506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69A9" w14:textId="77777777" w:rsidR="000C506D" w:rsidRPr="000C506D" w:rsidRDefault="000C506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výsledky</w:t>
            </w:r>
            <w:proofErr w:type="spellEnd"/>
            <w:r w:rsidRPr="000C506D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C4798" w14:textId="39E48AA6" w:rsidR="000C506D" w:rsidRPr="000C506D" w:rsidRDefault="000C506D" w:rsidP="002C7F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sledovania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F52">
              <w:rPr>
                <w:rFonts w:ascii="Times New Roman" w:hAnsi="Times New Roman" w:cs="Times New Roman"/>
                <w:sz w:val="20"/>
                <w:szCs w:val="20"/>
              </w:rPr>
              <w:t>Váhu</w:t>
            </w:r>
            <w:proofErr w:type="spellEnd"/>
            <w:r w:rsidR="002C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hodnotenie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2C7F52">
              <w:rPr>
                <w:rFonts w:ascii="Times New Roman" w:hAnsi="Times New Roman" w:cs="Times New Roman"/>
                <w:sz w:val="20"/>
                <w:szCs w:val="20"/>
              </w:rPr>
              <w:t>http://www.shmu.sk/File/Hydrologia/Monitoring_PV_PzV/Monitoring_kvality_PV</w:t>
            </w:r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proofErr w:type="gram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najmä</w:t>
            </w:r>
            <w:proofErr w:type="spellEnd"/>
            <w:proofErr w:type="gram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nezhoršovanie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parametrov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znečistenia</w:t>
            </w:r>
            <w:proofErr w:type="spellEnd"/>
            <w:r w:rsidRPr="000C5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46DA5B" w14:textId="77777777" w:rsidR="000C506D" w:rsidRPr="000C506D" w:rsidRDefault="000C506D" w:rsidP="00943463">
      <w:pPr>
        <w:pStyle w:val="Zkladntext"/>
        <w:widowControl w:val="0"/>
        <w:spacing w:after="120"/>
        <w:jc w:val="both"/>
        <w:rPr>
          <w:b w:val="0"/>
          <w:color w:val="000000" w:themeColor="text1"/>
        </w:rPr>
      </w:pPr>
    </w:p>
    <w:p w14:paraId="370F048A" w14:textId="7033A2C2" w:rsidR="00610B1E" w:rsidRPr="00610B1E" w:rsidRDefault="00610B1E" w:rsidP="00943463">
      <w:pPr>
        <w:pStyle w:val="Zkladntext"/>
        <w:widowControl w:val="0"/>
        <w:spacing w:after="120"/>
        <w:jc w:val="both"/>
        <w:rPr>
          <w:rFonts w:eastAsia="Arial"/>
          <w:b w:val="0"/>
          <w:bCs w:val="0"/>
          <w:sz w:val="22"/>
          <w:szCs w:val="22"/>
          <w:lang w:val="en" w:eastAsia="en-US"/>
        </w:rPr>
      </w:pPr>
      <w:r>
        <w:rPr>
          <w:b w:val="0"/>
          <w:color w:val="000000" w:themeColor="text1"/>
        </w:rPr>
        <w:t xml:space="preserve">Zachovanie stavu biotopu </w:t>
      </w:r>
      <w:r>
        <w:rPr>
          <w:color w:val="000000" w:themeColor="text1"/>
        </w:rPr>
        <w:t xml:space="preserve">Br5 (3270) Rieky s bahnitými až piesočnatými brehmi s vegetáciou zväzov </w:t>
      </w:r>
      <w:proofErr w:type="spellStart"/>
      <w:r>
        <w:rPr>
          <w:color w:val="000000" w:themeColor="text1"/>
        </w:rPr>
        <w:t>Chenopodion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rubri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p.p</w:t>
      </w:r>
      <w:proofErr w:type="spellEnd"/>
      <w:r>
        <w:rPr>
          <w:color w:val="000000" w:themeColor="text1"/>
        </w:rPr>
        <w:t>. a </w:t>
      </w:r>
      <w:proofErr w:type="spellStart"/>
      <w:r>
        <w:rPr>
          <w:color w:val="000000" w:themeColor="text1"/>
        </w:rPr>
        <w:t>Bidention</w:t>
      </w:r>
      <w:proofErr w:type="spellEnd"/>
      <w:r>
        <w:rPr>
          <w:color w:val="000000" w:themeColor="text1"/>
        </w:rPr>
        <w:t xml:space="preserve"> p. p. </w:t>
      </w:r>
      <w:r>
        <w:rPr>
          <w:b w:val="0"/>
          <w:color w:val="000000" w:themeColor="text1"/>
        </w:rPr>
        <w:t>za splnenia nasledovných atribútov:</w:t>
      </w:r>
      <w:r w:rsidRPr="00610B1E">
        <w:rPr>
          <w:rFonts w:eastAsia="Arial"/>
          <w:b w:val="0"/>
          <w:bCs w:val="0"/>
          <w:sz w:val="22"/>
          <w:szCs w:val="22"/>
          <w:lang w:val="en" w:eastAsia="en-US"/>
        </w:rPr>
        <w:t xml:space="preserve"> </w:t>
      </w:r>
    </w:p>
    <w:tbl>
      <w:tblPr>
        <w:tblW w:w="4902" w:type="pct"/>
        <w:tblInd w:w="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38"/>
        <w:gridCol w:w="1843"/>
        <w:gridCol w:w="3962"/>
      </w:tblGrid>
      <w:tr w:rsidR="00610B1E" w:rsidRPr="00610B1E" w14:paraId="5115A8C8" w14:textId="77777777" w:rsidTr="00610B1E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4561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DF1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D6C4" w14:textId="77777777" w:rsidR="00610B1E" w:rsidRPr="00610B1E" w:rsidRDefault="00610B1E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EA3A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610B1E" w:rsidRPr="00610B1E" w14:paraId="6C629546" w14:textId="77777777" w:rsidTr="00610B1E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848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F403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F979" w14:textId="42833BFC" w:rsidR="00610B1E" w:rsidRPr="00610B1E" w:rsidRDefault="00610B1E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D65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resp.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schopnosť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toku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vytvárať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prípade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nízkej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hladiny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obnažené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brehy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0B1E" w:rsidRPr="00610B1E" w14:paraId="6DAAC44F" w14:textId="77777777" w:rsidTr="00610B1E">
        <w:trPr>
          <w:trHeight w:val="2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975E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charakteristických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AB37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/16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546C" w14:textId="77777777" w:rsidR="00610B1E" w:rsidRPr="00610B1E" w:rsidRDefault="00610B1E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05507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typické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druhové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zloženie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stolonifera,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Barbarea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tripartita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cernua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Echinochloa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crus-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galii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Chenopodium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album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Chenopodium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polyspermum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Ch.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hirsutum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bufonius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Lycopus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europaeus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Myosotis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scorpioides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Myosoton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aquaticum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hydopiter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lapatifolia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mitis, P.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subsp.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brittingeri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P.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subsp.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scelerathus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Rorippa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Rumex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maritimus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Rumex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obtusifolius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Setaria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pumila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anagalis-aquatica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beccabunga</w:t>
            </w:r>
            <w:proofErr w:type="spellEnd"/>
          </w:p>
        </w:tc>
      </w:tr>
      <w:tr w:rsidR="00610B1E" w:rsidRPr="00610B1E" w14:paraId="19D7236F" w14:textId="77777777" w:rsidTr="00610B1E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D0A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9AB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E137" w14:textId="77777777" w:rsidR="00610B1E" w:rsidRPr="00610B1E" w:rsidRDefault="00610B1E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2 %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C861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Udržiavané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nízke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</w:p>
        </w:tc>
      </w:tr>
      <w:tr w:rsidR="00610B1E" w:rsidRPr="00610B1E" w14:paraId="178BAAE6" w14:textId="77777777" w:rsidTr="002C7F52">
        <w:trPr>
          <w:trHeight w:val="27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5E7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invázne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sa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správajúcich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</w:t>
            </w:r>
            <w:bookmarkStart w:id="0" w:name="_GoBack"/>
            <w:bookmarkEnd w:id="0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720C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percento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/16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E50B" w14:textId="77777777" w:rsidR="00610B1E" w:rsidRPr="00610B1E" w:rsidRDefault="00610B1E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1 %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090B0" w14:textId="77777777" w:rsidR="00610B1E" w:rsidRPr="00610B1E" w:rsidRDefault="00610B1E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frondosa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Phalaris</w:t>
            </w:r>
            <w:proofErr w:type="spellEnd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10B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arundinacea</w:t>
            </w:r>
            <w:proofErr w:type="spellEnd"/>
          </w:p>
        </w:tc>
      </w:tr>
    </w:tbl>
    <w:p w14:paraId="575C9824" w14:textId="04042498" w:rsidR="002D69E1" w:rsidRDefault="002D69E1" w:rsidP="00E644A9">
      <w:pPr>
        <w:pStyle w:val="Zkladntext"/>
        <w:widowControl w:val="0"/>
        <w:spacing w:after="120"/>
        <w:jc w:val="both"/>
        <w:rPr>
          <w:b w:val="0"/>
        </w:rPr>
      </w:pPr>
    </w:p>
    <w:p w14:paraId="5F1EED5B" w14:textId="570010DE" w:rsidR="009D56BA" w:rsidRPr="00FA03B9" w:rsidRDefault="009D56BA" w:rsidP="009D56B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vladykovi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9D56BA" w:rsidRPr="00FA03B9" w14:paraId="4EAFAF60" w14:textId="77777777" w:rsidTr="002A4AEE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9719" w14:textId="77777777" w:rsidR="009D56BA" w:rsidRPr="000C0D5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6828" w14:textId="77777777" w:rsidR="009D56BA" w:rsidRPr="000C0D5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AAB7" w14:textId="77777777" w:rsidR="009D56BA" w:rsidRPr="000C0D5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DC56" w14:textId="77777777" w:rsidR="009D56BA" w:rsidRPr="000C0D5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Doplňujúce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9D56BA" w:rsidRPr="00FA03B9" w14:paraId="38FADD96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D170" w14:textId="77777777" w:rsidR="009D56BA" w:rsidRPr="00FA03B9" w:rsidRDefault="009D56B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8E2E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420C" w14:textId="37E2EAF9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76D6" w14:textId="75FF3D98" w:rsidR="009D56BA" w:rsidRPr="00FA03B9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 500 - 1000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D56BA" w:rsidRPr="00FA03B9" w14:paraId="247FC81E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A846" w14:textId="77777777" w:rsidR="009D56BA" w:rsidRPr="00FA03B9" w:rsidRDefault="009D56B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4AC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39A5" w14:textId="77777777" w:rsidR="009D56BA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73DD" w14:textId="77777777" w:rsidR="009D56BA" w:rsidRPr="007720DF" w:rsidRDefault="009D56B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Mierne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spellEnd"/>
            <w:proofErr w:type="gram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úseky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alebo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rozhrania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blízkosti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štrkových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lavíc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alebo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brodov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Týchto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nedostatok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možné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dosiahnuť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revitalizáciou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prepojením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odrezaných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meandrov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riečnych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ramien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6BA" w:rsidRPr="00FA03B9" w14:paraId="764B99C5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F0DA" w14:textId="77777777" w:rsidR="009D56BA" w:rsidRPr="00FA03B9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Biotop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hĺbka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stĺpca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počas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suchej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sezóny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BFC0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Výška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F972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7C4E" w14:textId="77777777" w:rsidR="009D56BA" w:rsidRPr="00FA03B9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hlbšie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ktorých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dostatok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6BA" w:rsidRPr="00FA03B9" w14:paraId="50B8544B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07D0" w14:textId="77777777" w:rsidR="009D56BA" w:rsidRPr="00FA03B9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stromovej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vegetácie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8A1C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percentách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  <w:p w14:paraId="34661BF4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B39EE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3493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F8CB" w14:textId="77777777" w:rsidR="009D56BA" w:rsidRPr="00FA03B9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brehových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porastov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6BA" w:rsidRPr="00FA03B9" w14:paraId="1D30587A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A533" w14:textId="77777777" w:rsidR="009D56BA" w:rsidRPr="00FA03B9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7B35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6664" w14:textId="77777777" w:rsidR="009D56BA" w:rsidRPr="00FA03B9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BE68" w14:textId="77777777" w:rsidR="009D56BA" w:rsidRPr="00FA03B9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D56BA" w:rsidRPr="00FA03B9" w14:paraId="4747F299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F8BD" w14:textId="77777777" w:rsidR="009D56BA" w:rsidRPr="00A32EFF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623F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E0D5" w14:textId="77777777" w:rsidR="009D56BA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0BF7" w14:textId="77777777" w:rsidR="009D56BA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D56BA" w:rsidRPr="00FA03B9" w14:paraId="2B49B3B2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B8B1" w14:textId="77777777" w:rsidR="009D56BA" w:rsidRPr="00FA03B9" w:rsidRDefault="009D56BA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215C" w14:textId="77777777" w:rsidR="009D56BA" w:rsidRPr="00FA03B9" w:rsidRDefault="009D56B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B611" w14:textId="77777777" w:rsidR="009D56BA" w:rsidRPr="00FA03B9" w:rsidRDefault="009D56B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7687" w14:textId="77777777" w:rsidR="009D56BA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5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390F667" w14:textId="77777777" w:rsidR="009D56BA" w:rsidRPr="00FA03B9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57F8B2E" w14:textId="416BF347" w:rsidR="009D56BA" w:rsidRDefault="009D56BA" w:rsidP="009D56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6560CD79" w14:textId="1E97CE47" w:rsidR="009D56BA" w:rsidRPr="009D56BA" w:rsidRDefault="009D56BA" w:rsidP="009D56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9D56BA">
        <w:rPr>
          <w:rFonts w:ascii="Times New Roman" w:hAnsi="Times New Roman" w:cs="Times New Roman"/>
          <w:sz w:val="24"/>
          <w:szCs w:val="24"/>
        </w:rPr>
        <w:t>Zachovanie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druhu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b/>
          <w:i/>
          <w:sz w:val="24"/>
          <w:szCs w:val="24"/>
        </w:rPr>
        <w:t>Aspius</w:t>
      </w:r>
      <w:proofErr w:type="spellEnd"/>
      <w:r w:rsidRPr="009D56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b/>
          <w:i/>
          <w:sz w:val="24"/>
          <w:szCs w:val="24"/>
        </w:rPr>
        <w:t>aspius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splnenia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nasledovných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BA">
        <w:rPr>
          <w:rFonts w:ascii="Times New Roman" w:hAnsi="Times New Roman" w:cs="Times New Roman"/>
          <w:sz w:val="24"/>
          <w:szCs w:val="24"/>
        </w:rPr>
        <w:t>parametrov</w:t>
      </w:r>
      <w:proofErr w:type="spellEnd"/>
      <w:r w:rsidRPr="009D56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2907"/>
        <w:gridCol w:w="1388"/>
        <w:gridCol w:w="3143"/>
      </w:tblGrid>
      <w:tr w:rsidR="009D56BA" w:rsidRPr="007A6B32" w14:paraId="37EFA458" w14:textId="77777777" w:rsidTr="002A4AEE">
        <w:trPr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D89B" w14:textId="77777777" w:rsidR="009D56BA" w:rsidRPr="009D56B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6D0D" w14:textId="77777777" w:rsidR="009D56BA" w:rsidRPr="009D56B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7525" w14:textId="77777777" w:rsidR="009D56BA" w:rsidRPr="009D56B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FC16" w14:textId="77777777" w:rsidR="009D56BA" w:rsidRPr="009D56BA" w:rsidRDefault="009D56B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9D56BA" w:rsidRPr="007A6B32" w14:paraId="270161EE" w14:textId="77777777" w:rsidTr="002A4AEE">
        <w:trPr>
          <w:trHeight w:val="225"/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A153" w14:textId="77777777" w:rsidR="009D56BA" w:rsidRPr="007E136C" w:rsidRDefault="009D56B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9F9CC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B856" w14:textId="1990946D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Min.5</w:t>
            </w:r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A20C" w14:textId="310B4CDD" w:rsidR="009D56BA" w:rsidRPr="007A6B32" w:rsidRDefault="009D56BA" w:rsidP="009D5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2000 – 5000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6BA" w:rsidRPr="00411DC8" w14:paraId="5673EBE8" w14:textId="77777777" w:rsidTr="002A4AEE">
        <w:trPr>
          <w:trHeight w:val="225"/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AA72" w14:textId="77777777" w:rsidR="009D56BA" w:rsidRPr="007E136C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C017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02C2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7C23" w14:textId="77777777" w:rsidR="009D56BA" w:rsidRPr="00411DC8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Rýchlejšie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úseky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alebo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rozhrania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, v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kombinácii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hlbšími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miestami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9D56BA" w:rsidRPr="007E136C" w14:paraId="4A407F32" w14:textId="77777777" w:rsidTr="002A4AEE">
        <w:trPr>
          <w:trHeight w:val="397"/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0F07" w14:textId="77777777" w:rsidR="009D56BA" w:rsidRPr="007E136C" w:rsidRDefault="009D56BA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6106" w14:textId="77777777" w:rsidR="009D56BA" w:rsidRPr="007E136C" w:rsidRDefault="009D56B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0915" w14:textId="77777777" w:rsidR="009D56BA" w:rsidRPr="007E136C" w:rsidRDefault="009D56BA" w:rsidP="002A4A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45AC" w14:textId="7CE459ED" w:rsidR="009D56BA" w:rsidRPr="007E136C" w:rsidRDefault="009D56BA" w:rsidP="009D56B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Váhu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0568DC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Monitoring_kvality_PV/KvPV_2019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6BA" w:rsidRPr="007A6B32" w14:paraId="03A63A71" w14:textId="77777777" w:rsidTr="002A4AEE">
        <w:trPr>
          <w:trHeight w:val="397"/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8558" w14:textId="77777777" w:rsidR="009D56BA" w:rsidRPr="007E136C" w:rsidRDefault="009D56BA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5531" w14:textId="77777777" w:rsidR="009D56BA" w:rsidRPr="007A6B32" w:rsidRDefault="009D56B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F292" w14:textId="77777777" w:rsidR="009D56BA" w:rsidRPr="007A6B32" w:rsidRDefault="009D56B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A69B" w14:textId="77777777" w:rsidR="009D56BA" w:rsidRPr="007A6B32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účelom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neresenia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D56BA" w:rsidRPr="007A6B32" w14:paraId="669635C5" w14:textId="77777777" w:rsidTr="002A4AEE">
        <w:trPr>
          <w:trHeight w:val="397"/>
          <w:jc w:val="center"/>
        </w:trPr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A206" w14:textId="77777777" w:rsidR="009D56BA" w:rsidRPr="00A32EFF" w:rsidRDefault="009D56BA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70A9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zo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zistených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monitorovaných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CAE0" w14:textId="77777777" w:rsidR="009D56BA" w:rsidRPr="007A6B32" w:rsidRDefault="009D56B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D827" w14:textId="77777777" w:rsidR="009D56BA" w:rsidRPr="007A6B32" w:rsidRDefault="009D56B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39885094" w14:textId="77777777" w:rsidR="002C15CD" w:rsidRDefault="002C15CD" w:rsidP="002C15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C15C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51CE"/>
    <w:rsid w:val="000070AE"/>
    <w:rsid w:val="00024F35"/>
    <w:rsid w:val="00025654"/>
    <w:rsid w:val="000302C7"/>
    <w:rsid w:val="00033151"/>
    <w:rsid w:val="00034AE7"/>
    <w:rsid w:val="00042EF2"/>
    <w:rsid w:val="00050CCB"/>
    <w:rsid w:val="00052428"/>
    <w:rsid w:val="00057D02"/>
    <w:rsid w:val="00065238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06D"/>
    <w:rsid w:val="000C51F5"/>
    <w:rsid w:val="000D3ACB"/>
    <w:rsid w:val="000D45BF"/>
    <w:rsid w:val="000D4C17"/>
    <w:rsid w:val="000E4AC7"/>
    <w:rsid w:val="000E5FBD"/>
    <w:rsid w:val="000F0133"/>
    <w:rsid w:val="000F140B"/>
    <w:rsid w:val="00105FC1"/>
    <w:rsid w:val="001123F2"/>
    <w:rsid w:val="001131E3"/>
    <w:rsid w:val="001201DB"/>
    <w:rsid w:val="001258AA"/>
    <w:rsid w:val="00143F0F"/>
    <w:rsid w:val="00144F17"/>
    <w:rsid w:val="00165F46"/>
    <w:rsid w:val="00170B55"/>
    <w:rsid w:val="0017392E"/>
    <w:rsid w:val="00174B21"/>
    <w:rsid w:val="0017659C"/>
    <w:rsid w:val="00194EF9"/>
    <w:rsid w:val="001A77ED"/>
    <w:rsid w:val="001B4A5C"/>
    <w:rsid w:val="001C1959"/>
    <w:rsid w:val="001D51FF"/>
    <w:rsid w:val="001E4826"/>
    <w:rsid w:val="00201434"/>
    <w:rsid w:val="002067C1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96"/>
    <w:rsid w:val="00275645"/>
    <w:rsid w:val="00286C9F"/>
    <w:rsid w:val="0029101B"/>
    <w:rsid w:val="00294945"/>
    <w:rsid w:val="00297658"/>
    <w:rsid w:val="002A0A63"/>
    <w:rsid w:val="002B3C46"/>
    <w:rsid w:val="002C15CD"/>
    <w:rsid w:val="002C7340"/>
    <w:rsid w:val="002C7B3F"/>
    <w:rsid w:val="002C7F52"/>
    <w:rsid w:val="002D1613"/>
    <w:rsid w:val="002D2E53"/>
    <w:rsid w:val="002D311A"/>
    <w:rsid w:val="002D69E1"/>
    <w:rsid w:val="002F0031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4BC4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77D5"/>
    <w:rsid w:val="003F71B7"/>
    <w:rsid w:val="00403089"/>
    <w:rsid w:val="00404E72"/>
    <w:rsid w:val="00411DC8"/>
    <w:rsid w:val="00420AC5"/>
    <w:rsid w:val="00422248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275"/>
    <w:rsid w:val="0048574A"/>
    <w:rsid w:val="004B2CB9"/>
    <w:rsid w:val="004C3A31"/>
    <w:rsid w:val="004C5D19"/>
    <w:rsid w:val="004D2A7A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1152"/>
    <w:rsid w:val="00582857"/>
    <w:rsid w:val="005B0663"/>
    <w:rsid w:val="005B1589"/>
    <w:rsid w:val="005C1397"/>
    <w:rsid w:val="005C5A74"/>
    <w:rsid w:val="005C6FE0"/>
    <w:rsid w:val="005D7B29"/>
    <w:rsid w:val="005E7726"/>
    <w:rsid w:val="005F2417"/>
    <w:rsid w:val="00603E07"/>
    <w:rsid w:val="00604939"/>
    <w:rsid w:val="006104A3"/>
    <w:rsid w:val="00610B1E"/>
    <w:rsid w:val="0061599C"/>
    <w:rsid w:val="00624324"/>
    <w:rsid w:val="0062795D"/>
    <w:rsid w:val="0064147B"/>
    <w:rsid w:val="00647A97"/>
    <w:rsid w:val="00652933"/>
    <w:rsid w:val="006723BA"/>
    <w:rsid w:val="00690F8D"/>
    <w:rsid w:val="00696243"/>
    <w:rsid w:val="006A44FD"/>
    <w:rsid w:val="006A7FF1"/>
    <w:rsid w:val="006C0E08"/>
    <w:rsid w:val="006C12D6"/>
    <w:rsid w:val="006C2082"/>
    <w:rsid w:val="006C3FEA"/>
    <w:rsid w:val="00707499"/>
    <w:rsid w:val="00710333"/>
    <w:rsid w:val="00716E89"/>
    <w:rsid w:val="00725110"/>
    <w:rsid w:val="00731CAD"/>
    <w:rsid w:val="00735411"/>
    <w:rsid w:val="00754F13"/>
    <w:rsid w:val="00776252"/>
    <w:rsid w:val="00791978"/>
    <w:rsid w:val="007920A8"/>
    <w:rsid w:val="007B1AD9"/>
    <w:rsid w:val="007B2388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2F5B"/>
    <w:rsid w:val="008A37C1"/>
    <w:rsid w:val="008B115B"/>
    <w:rsid w:val="008C5C16"/>
    <w:rsid w:val="008C7D99"/>
    <w:rsid w:val="008D5C26"/>
    <w:rsid w:val="008E014A"/>
    <w:rsid w:val="008E0181"/>
    <w:rsid w:val="008E1527"/>
    <w:rsid w:val="008E7918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8532A"/>
    <w:rsid w:val="00990354"/>
    <w:rsid w:val="0099577D"/>
    <w:rsid w:val="009B0621"/>
    <w:rsid w:val="009C675A"/>
    <w:rsid w:val="009D56BA"/>
    <w:rsid w:val="009D71B8"/>
    <w:rsid w:val="009E03C2"/>
    <w:rsid w:val="00A01510"/>
    <w:rsid w:val="00A041B3"/>
    <w:rsid w:val="00A156DD"/>
    <w:rsid w:val="00A168B1"/>
    <w:rsid w:val="00A22209"/>
    <w:rsid w:val="00A3012A"/>
    <w:rsid w:val="00A32EFF"/>
    <w:rsid w:val="00A40F48"/>
    <w:rsid w:val="00A421CB"/>
    <w:rsid w:val="00A455BC"/>
    <w:rsid w:val="00A6309C"/>
    <w:rsid w:val="00A737D5"/>
    <w:rsid w:val="00A74B0F"/>
    <w:rsid w:val="00A97885"/>
    <w:rsid w:val="00AA24F2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6052"/>
    <w:rsid w:val="00B27A97"/>
    <w:rsid w:val="00B31B3C"/>
    <w:rsid w:val="00B41E49"/>
    <w:rsid w:val="00B52840"/>
    <w:rsid w:val="00B62F17"/>
    <w:rsid w:val="00B72791"/>
    <w:rsid w:val="00B901BE"/>
    <w:rsid w:val="00B960E4"/>
    <w:rsid w:val="00BB0B99"/>
    <w:rsid w:val="00BB4BFD"/>
    <w:rsid w:val="00BB7D70"/>
    <w:rsid w:val="00BC2408"/>
    <w:rsid w:val="00BC71B8"/>
    <w:rsid w:val="00BC7E07"/>
    <w:rsid w:val="00BD5ACF"/>
    <w:rsid w:val="00BD6C68"/>
    <w:rsid w:val="00BE3E35"/>
    <w:rsid w:val="00BF0D2F"/>
    <w:rsid w:val="00C01B21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3405"/>
    <w:rsid w:val="00C641E4"/>
    <w:rsid w:val="00C80ABC"/>
    <w:rsid w:val="00C94B05"/>
    <w:rsid w:val="00C97F7F"/>
    <w:rsid w:val="00CA42DD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52383"/>
    <w:rsid w:val="00D5476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B6FC7"/>
    <w:rsid w:val="00DD10E0"/>
    <w:rsid w:val="00DD6161"/>
    <w:rsid w:val="00DD7BDA"/>
    <w:rsid w:val="00DF58DF"/>
    <w:rsid w:val="00DF5B7A"/>
    <w:rsid w:val="00DF6D8F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C1354"/>
    <w:rsid w:val="00ED4007"/>
    <w:rsid w:val="00ED5B54"/>
    <w:rsid w:val="00ED60C7"/>
    <w:rsid w:val="00EE5BFD"/>
    <w:rsid w:val="00EF4C93"/>
    <w:rsid w:val="00F031B8"/>
    <w:rsid w:val="00F07648"/>
    <w:rsid w:val="00F15BA9"/>
    <w:rsid w:val="00F263CD"/>
    <w:rsid w:val="00F363B6"/>
    <w:rsid w:val="00F3725D"/>
    <w:rsid w:val="00F405B3"/>
    <w:rsid w:val="00F410A3"/>
    <w:rsid w:val="00F416AB"/>
    <w:rsid w:val="00F620F1"/>
    <w:rsid w:val="00F71EF9"/>
    <w:rsid w:val="00F72BEA"/>
    <w:rsid w:val="00F762FE"/>
    <w:rsid w:val="00F842E5"/>
    <w:rsid w:val="00F852E1"/>
    <w:rsid w:val="00F91732"/>
    <w:rsid w:val="00F9346A"/>
    <w:rsid w:val="00F93C13"/>
    <w:rsid w:val="00F9735A"/>
    <w:rsid w:val="00FA021F"/>
    <w:rsid w:val="00FA03B9"/>
    <w:rsid w:val="00FA66FD"/>
    <w:rsid w:val="00FB34EF"/>
    <w:rsid w:val="00FB4AF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7</cp:revision>
  <dcterms:created xsi:type="dcterms:W3CDTF">2023-10-29T14:30:00Z</dcterms:created>
  <dcterms:modified xsi:type="dcterms:W3CDTF">2024-01-10T11:33:00Z</dcterms:modified>
</cp:coreProperties>
</file>