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FF0B" w14:textId="77777777" w:rsidR="00E43A23" w:rsidRPr="00700F12"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332CB5">
        <w:rPr>
          <w:b/>
          <w:bCs/>
          <w:i w:val="0"/>
          <w:color w:val="auto"/>
          <w:sz w:val="28"/>
          <w:szCs w:val="28"/>
        </w:rPr>
        <w:t>SKUEV084</w:t>
      </w:r>
      <w:r w:rsidRPr="00700F12">
        <w:rPr>
          <w:b/>
          <w:bCs/>
          <w:i w:val="0"/>
          <w:color w:val="auto"/>
          <w:sz w:val="28"/>
          <w:szCs w:val="28"/>
        </w:rPr>
        <w:t xml:space="preserve">5 </w:t>
      </w:r>
      <w:r w:rsidR="00332CB5">
        <w:rPr>
          <w:b/>
          <w:bCs/>
          <w:i w:val="0"/>
          <w:color w:val="auto"/>
          <w:sz w:val="28"/>
          <w:szCs w:val="28"/>
        </w:rPr>
        <w:t>Bačkovská dolina</w:t>
      </w:r>
    </w:p>
    <w:p w14:paraId="75EE20BC" w14:textId="77777777" w:rsidR="00E43A23" w:rsidRDefault="00E43A23" w:rsidP="00E43A23">
      <w:pPr>
        <w:pStyle w:val="Zkladntext"/>
        <w:widowControl w:val="0"/>
        <w:spacing w:after="120"/>
        <w:jc w:val="both"/>
        <w:rPr>
          <w:b w:val="0"/>
        </w:rPr>
      </w:pPr>
    </w:p>
    <w:p w14:paraId="4B6AC109" w14:textId="5407568B" w:rsidR="00E43A23" w:rsidRPr="00B6615B" w:rsidRDefault="00332CB5"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biotopu Ls</w:t>
      </w:r>
      <w:r w:rsidR="004672AB">
        <w:rPr>
          <w:lang w:val="sk-SK"/>
        </w:rPr>
        <w:t>5</w:t>
      </w:r>
      <w:r w:rsidR="00E43A23" w:rsidRPr="00B6615B">
        <w:t xml:space="preserve">.1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48CF98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597C501B"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111A13D9"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0781EDC"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0B44AC27"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71961258"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4EAEEE"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999AFB"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DB63B5" w14:textId="77777777" w:rsidR="00E43A23" w:rsidRPr="00B6615B" w:rsidRDefault="00332CB5" w:rsidP="007E17F5">
            <w:pPr>
              <w:widowControl w:val="0"/>
              <w:jc w:val="center"/>
              <w:rPr>
                <w:sz w:val="18"/>
                <w:szCs w:val="18"/>
              </w:rPr>
            </w:pPr>
            <w:r>
              <w:rPr>
                <w:sz w:val="18"/>
                <w:szCs w:val="18"/>
              </w:rPr>
              <w:t>117,5</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8CC608"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ECEB9C3"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4ABA53"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DABB79"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56E912"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3848C1" w14:textId="77777777" w:rsidR="00E43A23" w:rsidRPr="00B6615B" w:rsidRDefault="00E43A23" w:rsidP="00E43A23">
            <w:pPr>
              <w:jc w:val="center"/>
              <w:rPr>
                <w:sz w:val="18"/>
                <w:szCs w:val="18"/>
              </w:rPr>
            </w:pPr>
            <w:r w:rsidRPr="00B6615B">
              <w:rPr>
                <w:sz w:val="18"/>
                <w:szCs w:val="18"/>
              </w:rPr>
              <w:t>Charakteristická druhová skladba:</w:t>
            </w:r>
          </w:p>
          <w:p w14:paraId="2F4BFF90"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197FCED"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4EF2A742"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B92104"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34729D"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1DDAEA"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63E973" w14:textId="77777777" w:rsidR="00E43A23" w:rsidRPr="00B6615B" w:rsidRDefault="00E43A23" w:rsidP="00E43A23">
            <w:pPr>
              <w:jc w:val="center"/>
              <w:rPr>
                <w:sz w:val="18"/>
                <w:szCs w:val="18"/>
              </w:rPr>
            </w:pPr>
            <w:r w:rsidRPr="00B6615B">
              <w:rPr>
                <w:sz w:val="18"/>
                <w:szCs w:val="18"/>
              </w:rPr>
              <w:t>Charakteristická druhová skladba:</w:t>
            </w:r>
          </w:p>
          <w:p w14:paraId="1EFF9B39"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638C2108"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0768BD"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4A0BBB"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B0BC14"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2C3F7B"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35545CFF"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DC1776" w14:textId="77777777" w:rsidR="00E43A23" w:rsidRPr="00B6615B" w:rsidRDefault="00E43A23" w:rsidP="00E43A23">
            <w:pPr>
              <w:spacing w:after="0"/>
              <w:jc w:val="center"/>
              <w:rPr>
                <w:sz w:val="18"/>
                <w:szCs w:val="18"/>
              </w:rPr>
            </w:pPr>
            <w:r w:rsidRPr="00B6615B">
              <w:rPr>
                <w:sz w:val="18"/>
                <w:szCs w:val="18"/>
              </w:rPr>
              <w:t>Mŕtve drevo</w:t>
            </w:r>
          </w:p>
          <w:p w14:paraId="437CBE64"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A0E8D5"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10F96F" w14:textId="77777777" w:rsidR="00E43A23" w:rsidRPr="00B6615B" w:rsidRDefault="00E43A23" w:rsidP="00E43A23">
            <w:pPr>
              <w:jc w:val="center"/>
              <w:rPr>
                <w:sz w:val="18"/>
                <w:szCs w:val="18"/>
              </w:rPr>
            </w:pPr>
            <w:r w:rsidRPr="00B6615B">
              <w:rPr>
                <w:sz w:val="18"/>
                <w:szCs w:val="18"/>
              </w:rPr>
              <w:t>najmenej 20</w:t>
            </w:r>
          </w:p>
          <w:p w14:paraId="793E1128" w14:textId="77777777" w:rsidR="00E43A23" w:rsidRPr="00B6615B" w:rsidRDefault="00E43A23" w:rsidP="00E43A23">
            <w:pPr>
              <w:jc w:val="center"/>
              <w:rPr>
                <w:sz w:val="18"/>
                <w:szCs w:val="18"/>
              </w:rPr>
            </w:pPr>
          </w:p>
          <w:p w14:paraId="5D2512DB"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5147FA"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33433BA8" w14:textId="77777777" w:rsidR="00E43A23" w:rsidRPr="00B6615B" w:rsidRDefault="00E43A23" w:rsidP="00E43A23">
            <w:pPr>
              <w:jc w:val="center"/>
              <w:rPr>
                <w:sz w:val="18"/>
                <w:szCs w:val="18"/>
              </w:rPr>
            </w:pPr>
          </w:p>
        </w:tc>
      </w:tr>
    </w:tbl>
    <w:p w14:paraId="008068A0" w14:textId="77777777" w:rsidR="00E43A23" w:rsidRPr="00B6615B" w:rsidRDefault="00E43A23" w:rsidP="00E43A23">
      <w:pPr>
        <w:pStyle w:val="Zkladntext"/>
        <w:widowControl w:val="0"/>
        <w:spacing w:after="120"/>
        <w:jc w:val="both"/>
        <w:rPr>
          <w:b w:val="0"/>
        </w:rPr>
      </w:pPr>
    </w:p>
    <w:p w14:paraId="593A6843" w14:textId="04D1EC43" w:rsidR="00E43A23" w:rsidRPr="00B6615B" w:rsidRDefault="00332CB5" w:rsidP="00E43A23">
      <w:pPr>
        <w:pStyle w:val="Zkladntext"/>
        <w:widowControl w:val="0"/>
        <w:spacing w:after="120"/>
        <w:jc w:val="both"/>
        <w:rPr>
          <w:b w:val="0"/>
        </w:rPr>
      </w:pPr>
      <w:r>
        <w:rPr>
          <w:b w:val="0"/>
          <w:lang w:val="sk-SK"/>
        </w:rPr>
        <w:t xml:space="preserve">Zlepšenie </w:t>
      </w:r>
      <w:r w:rsidR="00E43A23" w:rsidRPr="00B6615B">
        <w:rPr>
          <w:b w:val="0"/>
        </w:rPr>
        <w:t xml:space="preserve">stavu </w:t>
      </w:r>
      <w:r w:rsidR="00E43A23" w:rsidRPr="00B6615B">
        <w:t xml:space="preserve">biotopu Ls5.2 </w:t>
      </w:r>
      <w:r w:rsidR="00E43A23" w:rsidRPr="00B6615B">
        <w:rPr>
          <w:bCs w:val="0"/>
          <w:shd w:val="clear" w:color="auto" w:fill="FFFFFF"/>
        </w:rPr>
        <w:t>(</w:t>
      </w:r>
      <w:r w:rsidR="00E43A23" w:rsidRPr="00B6615B">
        <w:rPr>
          <w:lang w:eastAsia="sk-SK"/>
        </w:rPr>
        <w:t>9110</w:t>
      </w:r>
      <w:r w:rsidR="00E43A23" w:rsidRPr="00B6615B">
        <w:rPr>
          <w:bCs w:val="0"/>
          <w:shd w:val="clear" w:color="auto" w:fill="FFFFFF"/>
        </w:rPr>
        <w:t>) Kyslomilné bukové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11055641"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30BEBDA4"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07DFFB7"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1CC7DFBB"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ADED104"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2A8028FA" w14:textId="77777777" w:rsidTr="00E43A23">
        <w:trPr>
          <w:trHeight w:val="19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CAC040"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3E1969"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61B9E6" w14:textId="77777777" w:rsidR="00E43A23" w:rsidRPr="00B6615B" w:rsidRDefault="00332CB5" w:rsidP="007E17F5">
            <w:pPr>
              <w:widowControl w:val="0"/>
              <w:jc w:val="center"/>
              <w:rPr>
                <w:sz w:val="18"/>
                <w:szCs w:val="18"/>
              </w:rPr>
            </w:pPr>
            <w:r>
              <w:rPr>
                <w:sz w:val="18"/>
                <w:szCs w:val="18"/>
              </w:rPr>
              <w:t>7,5</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255D7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40D03A4F"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B0CAE0"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63B4DD"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1E52AE"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56D997" w14:textId="77777777" w:rsidR="00E43A23" w:rsidRPr="00B6615B" w:rsidRDefault="00E43A23" w:rsidP="00E43A23">
            <w:pPr>
              <w:jc w:val="center"/>
              <w:rPr>
                <w:sz w:val="18"/>
                <w:szCs w:val="18"/>
              </w:rPr>
            </w:pPr>
            <w:r w:rsidRPr="00B6615B">
              <w:rPr>
                <w:sz w:val="18"/>
                <w:szCs w:val="18"/>
              </w:rPr>
              <w:t>Charakteristická druhová skladba:</w:t>
            </w:r>
          </w:p>
          <w:p w14:paraId="36E663C7" w14:textId="77777777" w:rsidR="00E43A23" w:rsidRPr="00B6615B" w:rsidRDefault="00E43A23" w:rsidP="00E43A23">
            <w:pPr>
              <w:jc w:val="center"/>
              <w:rPr>
                <w:b/>
                <w:sz w:val="18"/>
                <w:szCs w:val="18"/>
              </w:rPr>
            </w:pPr>
            <w:r w:rsidRPr="00B6615B">
              <w:rPr>
                <w:sz w:val="18"/>
                <w:szCs w:val="18"/>
              </w:rPr>
              <w:t xml:space="preserve">4.lvs – </w:t>
            </w:r>
            <w:r w:rsidRPr="00B6615B">
              <w:rPr>
                <w:i/>
                <w:sz w:val="18"/>
                <w:szCs w:val="18"/>
              </w:rPr>
              <w:t>Abies alba &lt;30</w:t>
            </w:r>
            <w:r>
              <w:rPr>
                <w:i/>
                <w:sz w:val="18"/>
                <w:szCs w:val="18"/>
              </w:rPr>
              <w:t xml:space="preserve"> </w:t>
            </w:r>
            <w:r w:rsidRPr="00B6615B">
              <w:rPr>
                <w:i/>
                <w:sz w:val="18"/>
                <w:szCs w:val="18"/>
              </w:rPr>
              <w:t>%, Acer campestre,</w:t>
            </w:r>
            <w:r w:rsidRPr="00B6615B">
              <w:rPr>
                <w:b/>
                <w:i/>
                <w:sz w:val="18"/>
                <w:szCs w:val="18"/>
              </w:rPr>
              <w:t xml:space="preserve"> </w:t>
            </w:r>
            <w:r w:rsidRPr="00B6615B">
              <w:rPr>
                <w:i/>
                <w:sz w:val="18"/>
                <w:szCs w:val="18"/>
              </w:rPr>
              <w:t xml:space="preserve">A.platanoides, A. pseudoplatanus,  Betula pendula, </w:t>
            </w:r>
            <w:r w:rsidRPr="00B6615B">
              <w:rPr>
                <w:i/>
                <w:sz w:val="18"/>
                <w:szCs w:val="18"/>
              </w:rPr>
              <w:lastRenderedPageBreak/>
              <w:t xml:space="preserve">Carpinus betulus, Cerasus avium,  </w:t>
            </w:r>
            <w:r w:rsidRPr="00B6615B">
              <w:rPr>
                <w:b/>
                <w:i/>
                <w:sz w:val="18"/>
                <w:szCs w:val="18"/>
              </w:rPr>
              <w:t>Fagus sylvatica</w:t>
            </w:r>
            <w:r w:rsidRPr="00B6615B">
              <w:rPr>
                <w:i/>
                <w:sz w:val="18"/>
                <w:szCs w:val="18"/>
              </w:rPr>
              <w:t>, Fraxinus excelsior, Picea abies &lt;5</w:t>
            </w:r>
            <w:r>
              <w:rPr>
                <w:i/>
                <w:sz w:val="18"/>
                <w:szCs w:val="18"/>
              </w:rPr>
              <w:t xml:space="preserve"> </w:t>
            </w:r>
            <w:r w:rsidRPr="00B6615B">
              <w:rPr>
                <w:i/>
                <w:sz w:val="18"/>
                <w:szCs w:val="18"/>
              </w:rPr>
              <w:t>%, Pinus sylvestris &lt;15</w:t>
            </w:r>
            <w:r>
              <w:rPr>
                <w:i/>
                <w:sz w:val="18"/>
                <w:szCs w:val="18"/>
              </w:rPr>
              <w:t xml:space="preserve"> </w:t>
            </w:r>
            <w:r w:rsidRPr="00B6615B">
              <w:rPr>
                <w:i/>
                <w:sz w:val="18"/>
                <w:szCs w:val="18"/>
              </w:rPr>
              <w:t>%, Populus tremula,</w:t>
            </w:r>
            <w:r w:rsidRPr="00B6615B">
              <w:rPr>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Sorbus </w:t>
            </w:r>
            <w:r w:rsidRPr="00B6615B">
              <w:rPr>
                <w:sz w:val="18"/>
                <w:szCs w:val="18"/>
              </w:rPr>
              <w:t>spp.,</w:t>
            </w:r>
            <w:r w:rsidRPr="00B6615B">
              <w:rPr>
                <w:i/>
                <w:sz w:val="18"/>
                <w:szCs w:val="18"/>
              </w:rPr>
              <w:t xml:space="preserve"> Tilia cordata, T. platyphyllos,</w:t>
            </w:r>
            <w:r w:rsidRPr="00B6615B">
              <w:rPr>
                <w:b/>
                <w:i/>
                <w:sz w:val="18"/>
                <w:szCs w:val="18"/>
              </w:rPr>
              <w:t xml:space="preserve"> </w:t>
            </w:r>
            <w:r w:rsidRPr="00B6615B">
              <w:rPr>
                <w:i/>
                <w:sz w:val="18"/>
                <w:szCs w:val="18"/>
              </w:rPr>
              <w:t>Ulmus glabra</w:t>
            </w:r>
            <w:r w:rsidRPr="00B6615B">
              <w:rPr>
                <w:sz w:val="18"/>
                <w:szCs w:val="18"/>
              </w:rPr>
              <w:t>.</w:t>
            </w:r>
          </w:p>
          <w:p w14:paraId="3F8E8EC0" w14:textId="77777777" w:rsidR="00E43A23" w:rsidRPr="00B6615B" w:rsidRDefault="00E43A23" w:rsidP="00E43A23">
            <w:pPr>
              <w:jc w:val="center"/>
              <w:rPr>
                <w:sz w:val="18"/>
                <w:szCs w:val="18"/>
              </w:rPr>
            </w:pPr>
            <w:r w:rsidRPr="00B6615B">
              <w:rPr>
                <w:sz w:val="18"/>
                <w:szCs w:val="18"/>
              </w:rPr>
              <w:t xml:space="preserve">5.lvs –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Betula pendula, </w:t>
            </w:r>
            <w:r w:rsidRPr="00B6615B">
              <w:rPr>
                <w:b/>
                <w:i/>
                <w:sz w:val="18"/>
                <w:szCs w:val="18"/>
              </w:rPr>
              <w:t xml:space="preserve"> Fagus sylvatica*</w:t>
            </w:r>
            <w:r w:rsidRPr="00B6615B">
              <w:rPr>
                <w:i/>
                <w:sz w:val="18"/>
                <w:szCs w:val="18"/>
              </w:rPr>
              <w:t>, Fraxinus excelsior, Larix decidua &lt;5</w:t>
            </w:r>
            <w:r>
              <w:rPr>
                <w:i/>
                <w:sz w:val="18"/>
                <w:szCs w:val="18"/>
              </w:rPr>
              <w:t> </w:t>
            </w:r>
            <w:r w:rsidRPr="00B6615B">
              <w:rPr>
                <w:i/>
                <w:sz w:val="18"/>
                <w:szCs w:val="18"/>
              </w:rPr>
              <w:t>%, Picea abies &lt;30</w:t>
            </w:r>
            <w:r>
              <w:rPr>
                <w:i/>
                <w:sz w:val="18"/>
                <w:szCs w:val="18"/>
              </w:rPr>
              <w:t xml:space="preserve"> </w:t>
            </w:r>
            <w:r w:rsidRPr="00B6615B">
              <w:rPr>
                <w:i/>
                <w:sz w:val="18"/>
                <w:szCs w:val="18"/>
              </w:rPr>
              <w:t>%, Pinus sylvestris &lt;15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w:t>
            </w:r>
            <w:r w:rsidRPr="00B6615B">
              <w:rPr>
                <w:sz w:val="18"/>
                <w:szCs w:val="18"/>
              </w:rPr>
              <w:t>.</w:t>
            </w:r>
          </w:p>
          <w:p w14:paraId="5B074433"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35F4001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59C41D" w14:textId="77777777" w:rsidR="00E43A23" w:rsidRPr="00B6615B" w:rsidRDefault="00E43A23" w:rsidP="00E43A23">
            <w:pPr>
              <w:jc w:val="center"/>
              <w:rPr>
                <w:sz w:val="18"/>
                <w:szCs w:val="18"/>
              </w:rPr>
            </w:pPr>
            <w:r w:rsidRPr="00B6615B">
              <w:rPr>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55718"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AADCEF"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EA6C8E" w14:textId="77777777" w:rsidR="00E43A23" w:rsidRPr="00B6615B" w:rsidRDefault="00E43A23" w:rsidP="00E43A23">
            <w:pPr>
              <w:jc w:val="center"/>
              <w:rPr>
                <w:sz w:val="18"/>
                <w:szCs w:val="18"/>
              </w:rPr>
            </w:pPr>
            <w:r w:rsidRPr="00B6615B">
              <w:rPr>
                <w:sz w:val="18"/>
                <w:szCs w:val="18"/>
              </w:rPr>
              <w:t>Charakteristická druhová skladba:</w:t>
            </w:r>
          </w:p>
          <w:p w14:paraId="5753691A" w14:textId="77777777" w:rsidR="00E43A23" w:rsidRPr="00B6615B" w:rsidRDefault="00E43A23" w:rsidP="00E43A23">
            <w:pPr>
              <w:jc w:val="center"/>
              <w:rPr>
                <w:i/>
                <w:sz w:val="18"/>
                <w:szCs w:val="18"/>
              </w:rPr>
            </w:pPr>
            <w:r w:rsidRPr="00B6615B">
              <w:rPr>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E43A23" w:rsidRPr="00B6615B" w14:paraId="0A9CDEE1"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B40636"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5F24A0"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0CF441"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032B31"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241C3CE2"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1F1CC1" w14:textId="77777777" w:rsidR="00E43A23" w:rsidRPr="00B6615B" w:rsidRDefault="00E43A23" w:rsidP="00E43A23">
            <w:pPr>
              <w:spacing w:after="0"/>
              <w:jc w:val="center"/>
              <w:rPr>
                <w:sz w:val="18"/>
                <w:szCs w:val="18"/>
              </w:rPr>
            </w:pPr>
            <w:r w:rsidRPr="00B6615B">
              <w:rPr>
                <w:sz w:val="18"/>
                <w:szCs w:val="18"/>
              </w:rPr>
              <w:t>Mŕtve drevo</w:t>
            </w:r>
          </w:p>
          <w:p w14:paraId="279EE8BD"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w:t>
            </w:r>
            <w:r>
              <w:rPr>
                <w:sz w:val="18"/>
                <w:szCs w:val="18"/>
              </w:rPr>
              <w:t>5</w:t>
            </w:r>
            <w:r w:rsidRPr="00B6615B">
              <w:rPr>
                <w:sz w:val="18"/>
                <w:szCs w:val="18"/>
              </w:rPr>
              <w:t>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535F39"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78C8E7" w14:textId="77777777" w:rsidR="00E43A23" w:rsidRPr="00B6615B" w:rsidRDefault="00E43A23" w:rsidP="00E43A23">
            <w:pPr>
              <w:jc w:val="center"/>
              <w:rPr>
                <w:sz w:val="18"/>
                <w:szCs w:val="18"/>
              </w:rPr>
            </w:pPr>
            <w:r w:rsidRPr="00B6615B">
              <w:rPr>
                <w:sz w:val="18"/>
                <w:szCs w:val="18"/>
              </w:rPr>
              <w:t>najmenej 20</w:t>
            </w:r>
          </w:p>
          <w:p w14:paraId="0FC00C6E" w14:textId="77777777" w:rsidR="00E43A23" w:rsidRPr="00B6615B" w:rsidRDefault="00E43A23" w:rsidP="00E43A23">
            <w:pPr>
              <w:jc w:val="center"/>
              <w:rPr>
                <w:sz w:val="18"/>
                <w:szCs w:val="18"/>
              </w:rPr>
            </w:pPr>
          </w:p>
          <w:p w14:paraId="55A98883"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E6FE67"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p w14:paraId="2FBA9614" w14:textId="77777777" w:rsidR="00E43A23" w:rsidRPr="00B6615B" w:rsidRDefault="00E43A23" w:rsidP="00E43A23">
            <w:pPr>
              <w:jc w:val="center"/>
              <w:rPr>
                <w:sz w:val="18"/>
                <w:szCs w:val="18"/>
              </w:rPr>
            </w:pPr>
          </w:p>
        </w:tc>
      </w:tr>
    </w:tbl>
    <w:p w14:paraId="6A5865BE" w14:textId="77777777" w:rsidR="00E43A23" w:rsidRDefault="00E43A23" w:rsidP="00E43A23">
      <w:pPr>
        <w:ind w:hanging="142"/>
      </w:pPr>
    </w:p>
    <w:p w14:paraId="5C441A57" w14:textId="77777777" w:rsidR="00E43A23" w:rsidRPr="00B6615B" w:rsidRDefault="00E43A23" w:rsidP="00E43A23">
      <w:pPr>
        <w:ind w:hanging="142"/>
        <w:rPr>
          <w:b/>
        </w:rPr>
      </w:pPr>
      <w:r w:rsidRPr="00B6615B">
        <w:t>Zachovanie priaznivého</w:t>
      </w:r>
      <w:r w:rsidRPr="00B6615B">
        <w:rPr>
          <w:b/>
        </w:rPr>
        <w:t xml:space="preserve"> </w:t>
      </w:r>
      <w:r w:rsidRPr="00B6615B">
        <w:t xml:space="preserve">stavu biotopu </w:t>
      </w:r>
      <w:r w:rsidRPr="00B6615B">
        <w:rPr>
          <w:b/>
        </w:rPr>
        <w:t>Ls</w:t>
      </w:r>
      <w:r>
        <w:rPr>
          <w:b/>
        </w:rPr>
        <w:t xml:space="preserve"> </w:t>
      </w:r>
      <w:r w:rsidRPr="00B6615B">
        <w:rPr>
          <w:b/>
        </w:rPr>
        <w:t>4</w:t>
      </w:r>
      <w:r w:rsidRPr="00B6615B">
        <w:rPr>
          <w:b/>
          <w:szCs w:val="24"/>
        </w:rPr>
        <w:t xml:space="preserve"> (</w:t>
      </w:r>
      <w:r>
        <w:rPr>
          <w:b/>
          <w:szCs w:val="24"/>
        </w:rPr>
        <w:t xml:space="preserve">* </w:t>
      </w:r>
      <w:r w:rsidRPr="00B6615B">
        <w:rPr>
          <w:b/>
          <w:szCs w:val="24"/>
        </w:rPr>
        <w:t xml:space="preserve">9180) Lipovo-javorové sutinové lesy </w:t>
      </w:r>
      <w:r w:rsidRPr="00B6615B">
        <w:rPr>
          <w:szCs w:val="24"/>
        </w:rPr>
        <w:t>za splnenia nasledovných atribútov:</w:t>
      </w:r>
      <w:r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0363C89"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3BB36029"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6B7CD597"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F1AF3BF"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805C3D3"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7A97F578"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BD272A"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945678"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C5F5C2" w14:textId="77777777" w:rsidR="00E43A23" w:rsidRPr="00B6615B" w:rsidRDefault="00332CB5" w:rsidP="007E17F5">
            <w:pPr>
              <w:widowControl w:val="0"/>
              <w:jc w:val="center"/>
              <w:rPr>
                <w:sz w:val="18"/>
                <w:szCs w:val="18"/>
              </w:rPr>
            </w:pPr>
            <w:r>
              <w:rPr>
                <w:sz w:val="18"/>
                <w:szCs w:val="18"/>
              </w:rPr>
              <w:t>56,5</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720E35" w14:textId="77777777" w:rsidR="00E43A23" w:rsidRPr="00B6615B" w:rsidRDefault="00E43A23" w:rsidP="00E43A23">
            <w:pPr>
              <w:widowControl w:val="0"/>
              <w:jc w:val="center"/>
              <w:rPr>
                <w:sz w:val="18"/>
                <w:szCs w:val="18"/>
              </w:rPr>
            </w:pPr>
            <w:r w:rsidRPr="00B6615B">
              <w:rPr>
                <w:sz w:val="18"/>
                <w:szCs w:val="18"/>
              </w:rPr>
              <w:t>Udržanie súčasnej výmery biotopu v ÚEV.</w:t>
            </w:r>
          </w:p>
        </w:tc>
      </w:tr>
      <w:tr w:rsidR="00E43A23" w:rsidRPr="00B6615B" w14:paraId="07338055"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B10437"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FB832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E257F7" w14:textId="77777777" w:rsidR="00E43A23" w:rsidRPr="00B6615B" w:rsidRDefault="00E43A23" w:rsidP="00E43A23">
            <w:pPr>
              <w:jc w:val="center"/>
              <w:rPr>
                <w:sz w:val="18"/>
                <w:szCs w:val="18"/>
              </w:rPr>
            </w:pPr>
            <w:r w:rsidRPr="00B6615B">
              <w:rPr>
                <w:sz w:val="18"/>
                <w:szCs w:val="18"/>
              </w:rPr>
              <w:t>najmenej 90 %</w:t>
            </w:r>
          </w:p>
          <w:p w14:paraId="28556371"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D4AF2E" w14:textId="77777777" w:rsidR="00E43A23" w:rsidRPr="00B6615B" w:rsidRDefault="00E43A23" w:rsidP="00E43A23">
            <w:pPr>
              <w:jc w:val="center"/>
              <w:rPr>
                <w:sz w:val="18"/>
                <w:szCs w:val="18"/>
              </w:rPr>
            </w:pPr>
            <w:r w:rsidRPr="00B6615B">
              <w:rPr>
                <w:sz w:val="18"/>
                <w:szCs w:val="18"/>
              </w:rPr>
              <w:t>Charakteristická druhová skladba:</w:t>
            </w:r>
          </w:p>
          <w:p w14:paraId="70515C56"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C504D58" w14:textId="77777777" w:rsidR="00E43A23" w:rsidRPr="00B6615B" w:rsidRDefault="00E43A23" w:rsidP="00E43A23">
            <w:pPr>
              <w:jc w:val="center"/>
              <w:rPr>
                <w:b/>
                <w:sz w:val="18"/>
                <w:szCs w:val="18"/>
              </w:rPr>
            </w:pPr>
          </w:p>
          <w:p w14:paraId="2FB41DC9"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2BE76264"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6B65CE9" w14:textId="77777777" w:rsidR="00E43A23" w:rsidRPr="00B6615B" w:rsidRDefault="00E43A23" w:rsidP="00E43A23">
            <w:pPr>
              <w:jc w:val="center"/>
              <w:rPr>
                <w:b/>
                <w:sz w:val="18"/>
                <w:szCs w:val="18"/>
              </w:rPr>
            </w:pPr>
          </w:p>
          <w:p w14:paraId="7D173487" w14:textId="77777777" w:rsidR="00E43A23" w:rsidRPr="00B6615B" w:rsidRDefault="00E43A23" w:rsidP="00E43A23">
            <w:pPr>
              <w:jc w:val="center"/>
              <w:rPr>
                <w:sz w:val="18"/>
                <w:szCs w:val="18"/>
              </w:rPr>
            </w:pPr>
            <w:r w:rsidRPr="00B6615B">
              <w:rPr>
                <w:sz w:val="18"/>
                <w:szCs w:val="18"/>
              </w:rPr>
              <w:t>6. lvs:</w:t>
            </w:r>
            <w:r w:rsidRPr="00B6615B">
              <w:rPr>
                <w:rFonts w:eastAsia="Times New Roman"/>
                <w:b/>
                <w:i/>
                <w:szCs w:val="24"/>
                <w:lang w:eastAsia="sk-SK"/>
              </w:rPr>
              <w:t xml:space="preserve"> </w:t>
            </w:r>
            <w:r w:rsidRPr="00B6615B">
              <w:rPr>
                <w:b/>
                <w:i/>
                <w:sz w:val="18"/>
                <w:szCs w:val="18"/>
              </w:rPr>
              <w:t xml:space="preserve">Abies alba </w:t>
            </w:r>
            <w:r w:rsidRPr="00B6615B">
              <w:rPr>
                <w:i/>
                <w:sz w:val="18"/>
                <w:szCs w:val="18"/>
              </w:rPr>
              <w:t>&lt;40</w:t>
            </w:r>
            <w:r>
              <w:rPr>
                <w:i/>
                <w:sz w:val="18"/>
                <w:szCs w:val="18"/>
              </w:rPr>
              <w:t xml:space="preserve"> </w:t>
            </w:r>
            <w:r w:rsidRPr="00B6615B">
              <w:rPr>
                <w:i/>
                <w:sz w:val="18"/>
                <w:szCs w:val="18"/>
              </w:rPr>
              <w:t>%,</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w:t>
            </w:r>
            <w:r>
              <w:rPr>
                <w:i/>
                <w:sz w:val="18"/>
                <w:szCs w:val="18"/>
              </w:rPr>
              <w:t xml:space="preserve"> </w:t>
            </w:r>
            <w:r w:rsidRPr="00B6615B">
              <w:rPr>
                <w:i/>
                <w:sz w:val="18"/>
                <w:szCs w:val="18"/>
              </w:rPr>
              <w:t>10%, Picea abies &lt;25</w:t>
            </w:r>
            <w:r>
              <w:rPr>
                <w:i/>
                <w:sz w:val="18"/>
                <w:szCs w:val="18"/>
              </w:rPr>
              <w:t xml:space="preserve"> </w:t>
            </w:r>
            <w:r w:rsidRPr="00B6615B">
              <w:rPr>
                <w:i/>
                <w:sz w:val="18"/>
                <w:szCs w:val="18"/>
              </w:rPr>
              <w:t>%, Pinus sylvestris &lt;</w:t>
            </w:r>
            <w:r>
              <w:rPr>
                <w:i/>
                <w:sz w:val="18"/>
                <w:szCs w:val="18"/>
              </w:rPr>
              <w:t xml:space="preserve"> </w:t>
            </w:r>
            <w:r w:rsidRPr="00B6615B">
              <w:rPr>
                <w:i/>
                <w:sz w:val="18"/>
                <w:szCs w:val="18"/>
              </w:rPr>
              <w:t xml:space="preserve">10%, Sorbus </w:t>
            </w:r>
            <w:r w:rsidRPr="00B6615B">
              <w:rPr>
                <w:sz w:val="18"/>
                <w:szCs w:val="18"/>
              </w:rPr>
              <w:t xml:space="preserve">spp., </w:t>
            </w:r>
            <w:r w:rsidRPr="00B6615B">
              <w:rPr>
                <w:i/>
                <w:sz w:val="18"/>
                <w:szCs w:val="18"/>
              </w:rPr>
              <w:t>Taxus baccata, Tilia cordata,</w:t>
            </w:r>
            <w:r w:rsidRPr="00B6615B">
              <w:rPr>
                <w:b/>
                <w:i/>
                <w:sz w:val="18"/>
                <w:szCs w:val="18"/>
              </w:rPr>
              <w:t xml:space="preserve"> </w:t>
            </w:r>
            <w:r w:rsidRPr="00B6615B">
              <w:rPr>
                <w:i/>
                <w:sz w:val="18"/>
                <w:szCs w:val="18"/>
              </w:rPr>
              <w:t xml:space="preserve">T. platyphyllos, </w:t>
            </w:r>
            <w:r w:rsidRPr="00B6615B">
              <w:rPr>
                <w:b/>
                <w:i/>
                <w:sz w:val="18"/>
                <w:szCs w:val="18"/>
              </w:rPr>
              <w:t>Ulmus glabra</w:t>
            </w:r>
            <w:r w:rsidRPr="00B6615B">
              <w:rPr>
                <w:sz w:val="18"/>
                <w:szCs w:val="18"/>
              </w:rPr>
              <w:t>.</w:t>
            </w:r>
          </w:p>
          <w:p w14:paraId="7E470FBB"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75A39E6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CEF90B"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3515BA"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8F6EA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945CE6" w14:textId="77777777" w:rsidR="00E43A23" w:rsidRPr="00B6615B" w:rsidRDefault="00E43A23" w:rsidP="00E43A23">
            <w:pPr>
              <w:jc w:val="center"/>
              <w:rPr>
                <w:sz w:val="18"/>
                <w:szCs w:val="18"/>
              </w:rPr>
            </w:pPr>
            <w:r w:rsidRPr="00B6615B">
              <w:rPr>
                <w:sz w:val="18"/>
                <w:szCs w:val="18"/>
              </w:rPr>
              <w:t>Charakteristická druhová skladba:</w:t>
            </w:r>
          </w:p>
          <w:p w14:paraId="3ABCBCCC"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4E42E613"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00830D"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B05507"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BAB613"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E7CA25"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15013D81"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151A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272D78"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082357" w14:textId="77777777" w:rsidR="00E43A23" w:rsidRPr="00B6615B" w:rsidRDefault="00E43A23" w:rsidP="00E43A23">
            <w:pPr>
              <w:jc w:val="center"/>
              <w:rPr>
                <w:sz w:val="18"/>
                <w:szCs w:val="18"/>
              </w:rPr>
            </w:pPr>
            <w:r w:rsidRPr="00B6615B">
              <w:rPr>
                <w:sz w:val="18"/>
                <w:szCs w:val="18"/>
              </w:rPr>
              <w:t>Viac ako 40</w:t>
            </w:r>
          </w:p>
          <w:p w14:paraId="5440BD23"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A4BD5B"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6BA1317D" w14:textId="77777777" w:rsidR="00E43A23" w:rsidRPr="00B6615B" w:rsidRDefault="00E43A23" w:rsidP="00E43A23">
      <w:pPr>
        <w:ind w:hanging="142"/>
      </w:pPr>
    </w:p>
    <w:p w14:paraId="54E8B0B4" w14:textId="4A13C5DB" w:rsidR="0092663C" w:rsidRPr="00B6615B" w:rsidRDefault="00E43A23" w:rsidP="0092663C">
      <w:pPr>
        <w:ind w:hanging="142"/>
        <w:rPr>
          <w:rFonts w:eastAsia="Times New Roman"/>
          <w:i/>
          <w:lang w:eastAsia="sk-SK"/>
        </w:rPr>
      </w:pPr>
      <w:r>
        <w:t xml:space="preserve"> </w:t>
      </w:r>
      <w:r w:rsidR="0092663C" w:rsidRPr="00B6615B">
        <w:t>Zlepšenie stavu druhu</w:t>
      </w:r>
      <w:r w:rsidR="0092663C" w:rsidRPr="00B6615B">
        <w:rPr>
          <w:b/>
        </w:rPr>
        <w:t xml:space="preserve"> </w:t>
      </w:r>
      <w:r w:rsidR="0092663C">
        <w:rPr>
          <w:rFonts w:eastAsia="Times New Roman"/>
          <w:b/>
          <w:i/>
          <w:lang w:eastAsia="sk-SK"/>
        </w:rPr>
        <w:t xml:space="preserve">Pholidoptera transsylvanica </w:t>
      </w:r>
      <w:r w:rsidR="0092663C" w:rsidRPr="00B6615B">
        <w:t xml:space="preserve">za splnenia nasledovných atribútov: </w:t>
      </w:r>
    </w:p>
    <w:tbl>
      <w:tblPr>
        <w:tblW w:w="4972" w:type="pct"/>
        <w:tblInd w:w="2" w:type="dxa"/>
        <w:tblCellMar>
          <w:left w:w="70" w:type="dxa"/>
          <w:right w:w="70" w:type="dxa"/>
        </w:tblCellMar>
        <w:tblLook w:val="00A0" w:firstRow="1" w:lastRow="0" w:firstColumn="1" w:lastColumn="0" w:noHBand="0" w:noVBand="0"/>
      </w:tblPr>
      <w:tblGrid>
        <w:gridCol w:w="1500"/>
        <w:gridCol w:w="2081"/>
        <w:gridCol w:w="1013"/>
        <w:gridCol w:w="4417"/>
      </w:tblGrid>
      <w:tr w:rsidR="0092663C" w:rsidRPr="00870D1F" w14:paraId="67D0A9AC" w14:textId="77777777" w:rsidTr="0092663C">
        <w:trPr>
          <w:trHeight w:val="620"/>
        </w:trPr>
        <w:tc>
          <w:tcPr>
            <w:tcW w:w="1500" w:type="dxa"/>
            <w:tcBorders>
              <w:top w:val="single" w:sz="4" w:space="0" w:color="auto"/>
              <w:left w:val="single" w:sz="4" w:space="0" w:color="auto"/>
              <w:bottom w:val="single" w:sz="4" w:space="0" w:color="auto"/>
              <w:right w:val="single" w:sz="4" w:space="0" w:color="auto"/>
            </w:tcBorders>
          </w:tcPr>
          <w:p w14:paraId="04FAE457" w14:textId="77777777" w:rsidR="0092663C" w:rsidRPr="00870D1F" w:rsidRDefault="0092663C" w:rsidP="00303EC6">
            <w:pPr>
              <w:spacing w:after="0"/>
              <w:rPr>
                <w:b/>
                <w:color w:val="000000"/>
                <w:sz w:val="20"/>
                <w:szCs w:val="20"/>
                <w:lang w:eastAsia="sk-SK"/>
              </w:rPr>
            </w:pPr>
            <w:r w:rsidRPr="00870D1F">
              <w:rPr>
                <w:b/>
                <w:color w:val="000000"/>
                <w:sz w:val="20"/>
                <w:szCs w:val="20"/>
              </w:rPr>
              <w:t>Parameter</w:t>
            </w:r>
          </w:p>
        </w:tc>
        <w:tc>
          <w:tcPr>
            <w:tcW w:w="2081" w:type="dxa"/>
            <w:tcBorders>
              <w:top w:val="single" w:sz="4" w:space="0" w:color="auto"/>
              <w:left w:val="nil"/>
              <w:bottom w:val="single" w:sz="4" w:space="0" w:color="auto"/>
              <w:right w:val="single" w:sz="4" w:space="0" w:color="auto"/>
            </w:tcBorders>
          </w:tcPr>
          <w:p w14:paraId="2816A311" w14:textId="77777777" w:rsidR="0092663C" w:rsidRPr="00870D1F" w:rsidRDefault="0092663C" w:rsidP="00303EC6">
            <w:pPr>
              <w:spacing w:after="0"/>
              <w:jc w:val="center"/>
              <w:rPr>
                <w:b/>
                <w:color w:val="000000"/>
                <w:sz w:val="20"/>
                <w:szCs w:val="20"/>
                <w:lang w:eastAsia="sk-SK"/>
              </w:rPr>
            </w:pPr>
            <w:r w:rsidRPr="00870D1F">
              <w:rPr>
                <w:b/>
                <w:color w:val="000000"/>
                <w:sz w:val="20"/>
                <w:szCs w:val="20"/>
              </w:rPr>
              <w:t>Merateľný indikátor</w:t>
            </w:r>
          </w:p>
        </w:tc>
        <w:tc>
          <w:tcPr>
            <w:tcW w:w="1013" w:type="dxa"/>
            <w:tcBorders>
              <w:top w:val="single" w:sz="4" w:space="0" w:color="auto"/>
              <w:left w:val="nil"/>
              <w:bottom w:val="single" w:sz="4" w:space="0" w:color="auto"/>
              <w:right w:val="single" w:sz="4" w:space="0" w:color="auto"/>
            </w:tcBorders>
          </w:tcPr>
          <w:p w14:paraId="077A8544" w14:textId="77777777" w:rsidR="0092663C" w:rsidRPr="00870D1F" w:rsidRDefault="0092663C" w:rsidP="00303EC6">
            <w:pPr>
              <w:spacing w:after="0"/>
              <w:jc w:val="center"/>
              <w:rPr>
                <w:b/>
                <w:color w:val="000000"/>
                <w:sz w:val="20"/>
                <w:szCs w:val="20"/>
                <w:lang w:eastAsia="sk-SK"/>
              </w:rPr>
            </w:pPr>
            <w:r w:rsidRPr="00870D1F">
              <w:rPr>
                <w:b/>
                <w:color w:val="000000"/>
                <w:sz w:val="20"/>
                <w:szCs w:val="20"/>
              </w:rPr>
              <w:t>Cieľová hodnota</w:t>
            </w:r>
          </w:p>
        </w:tc>
        <w:tc>
          <w:tcPr>
            <w:tcW w:w="4417" w:type="dxa"/>
            <w:tcBorders>
              <w:top w:val="single" w:sz="4" w:space="0" w:color="auto"/>
              <w:left w:val="nil"/>
              <w:bottom w:val="single" w:sz="4" w:space="0" w:color="auto"/>
              <w:right w:val="single" w:sz="4" w:space="0" w:color="auto"/>
            </w:tcBorders>
          </w:tcPr>
          <w:p w14:paraId="02573D20" w14:textId="77777777" w:rsidR="0092663C" w:rsidRPr="00870D1F" w:rsidRDefault="0092663C" w:rsidP="00303EC6">
            <w:pPr>
              <w:spacing w:after="0"/>
              <w:rPr>
                <w:b/>
                <w:color w:val="000000"/>
                <w:sz w:val="20"/>
                <w:szCs w:val="20"/>
                <w:lang w:eastAsia="sk-SK"/>
              </w:rPr>
            </w:pPr>
            <w:r w:rsidRPr="00870D1F">
              <w:rPr>
                <w:b/>
                <w:color w:val="000000"/>
                <w:sz w:val="20"/>
                <w:szCs w:val="20"/>
              </w:rPr>
              <w:t>Poznámky/Doplňujúce informácie</w:t>
            </w:r>
          </w:p>
        </w:tc>
      </w:tr>
      <w:tr w:rsidR="0092663C" w:rsidRPr="00870D1F" w14:paraId="758E586E" w14:textId="77777777" w:rsidTr="0092663C">
        <w:trPr>
          <w:trHeight w:val="620"/>
        </w:trPr>
        <w:tc>
          <w:tcPr>
            <w:tcW w:w="1500" w:type="dxa"/>
            <w:tcBorders>
              <w:top w:val="single" w:sz="4" w:space="0" w:color="auto"/>
              <w:left w:val="single" w:sz="4" w:space="0" w:color="auto"/>
              <w:bottom w:val="single" w:sz="4" w:space="0" w:color="auto"/>
              <w:right w:val="single" w:sz="4" w:space="0" w:color="auto"/>
            </w:tcBorders>
            <w:vAlign w:val="center"/>
          </w:tcPr>
          <w:p w14:paraId="4B0A1C67" w14:textId="77777777" w:rsidR="0092663C" w:rsidRPr="00870D1F" w:rsidRDefault="0092663C" w:rsidP="00303EC6">
            <w:pPr>
              <w:spacing w:after="0"/>
              <w:rPr>
                <w:color w:val="000000"/>
                <w:sz w:val="20"/>
                <w:szCs w:val="20"/>
                <w:lang w:eastAsia="sk-SK"/>
              </w:rPr>
            </w:pPr>
            <w:r w:rsidRPr="00870D1F">
              <w:rPr>
                <w:color w:val="000000"/>
                <w:sz w:val="20"/>
                <w:szCs w:val="20"/>
                <w:lang w:eastAsia="sk-SK"/>
              </w:rPr>
              <w:t>veľkosť populácie</w:t>
            </w:r>
          </w:p>
        </w:tc>
        <w:tc>
          <w:tcPr>
            <w:tcW w:w="2081" w:type="dxa"/>
            <w:tcBorders>
              <w:top w:val="single" w:sz="4" w:space="0" w:color="auto"/>
              <w:left w:val="nil"/>
              <w:bottom w:val="single" w:sz="4" w:space="0" w:color="auto"/>
              <w:right w:val="single" w:sz="4" w:space="0" w:color="auto"/>
            </w:tcBorders>
            <w:vAlign w:val="center"/>
          </w:tcPr>
          <w:p w14:paraId="5DF081FE" w14:textId="77777777" w:rsidR="0092663C" w:rsidRPr="00870D1F" w:rsidRDefault="0092663C" w:rsidP="00303EC6">
            <w:pPr>
              <w:spacing w:after="0"/>
              <w:jc w:val="center"/>
              <w:rPr>
                <w:color w:val="000000"/>
                <w:sz w:val="20"/>
                <w:szCs w:val="20"/>
                <w:lang w:eastAsia="sk-SK"/>
              </w:rPr>
            </w:pPr>
            <w:r>
              <w:rPr>
                <w:color w:val="000000"/>
                <w:sz w:val="20"/>
                <w:szCs w:val="20"/>
                <w:lang w:eastAsia="sk-SK"/>
              </w:rPr>
              <w:t>k</w:t>
            </w:r>
            <w:r w:rsidRPr="00870D1F">
              <w:rPr>
                <w:color w:val="000000"/>
                <w:sz w:val="20"/>
                <w:szCs w:val="20"/>
                <w:lang w:eastAsia="sk-SK"/>
              </w:rPr>
              <w:t>s</w:t>
            </w:r>
            <w:r>
              <w:rPr>
                <w:color w:val="000000"/>
                <w:sz w:val="20"/>
                <w:szCs w:val="20"/>
                <w:lang w:eastAsia="sk-SK"/>
              </w:rPr>
              <w:t xml:space="preserve"> (adult)</w:t>
            </w:r>
          </w:p>
        </w:tc>
        <w:tc>
          <w:tcPr>
            <w:tcW w:w="1013" w:type="dxa"/>
            <w:tcBorders>
              <w:top w:val="single" w:sz="4" w:space="0" w:color="auto"/>
              <w:left w:val="nil"/>
              <w:bottom w:val="single" w:sz="4" w:space="0" w:color="auto"/>
              <w:right w:val="single" w:sz="4" w:space="0" w:color="auto"/>
            </w:tcBorders>
            <w:vAlign w:val="center"/>
          </w:tcPr>
          <w:p w14:paraId="6EB7E0A9" w14:textId="1A9145D0" w:rsidR="0092663C" w:rsidRPr="00870D1F" w:rsidRDefault="0092663C" w:rsidP="00303EC6">
            <w:pPr>
              <w:jc w:val="center"/>
              <w:rPr>
                <w:color w:val="000000"/>
                <w:sz w:val="20"/>
                <w:szCs w:val="20"/>
                <w:lang w:eastAsia="sk-SK"/>
              </w:rPr>
            </w:pPr>
            <w:r>
              <w:rPr>
                <w:color w:val="000000"/>
                <w:sz w:val="20"/>
                <w:szCs w:val="20"/>
                <w:lang w:eastAsia="sk-SK"/>
              </w:rPr>
              <w:t> min. 1500</w:t>
            </w:r>
          </w:p>
        </w:tc>
        <w:tc>
          <w:tcPr>
            <w:tcW w:w="4417" w:type="dxa"/>
            <w:tcBorders>
              <w:top w:val="single" w:sz="4" w:space="0" w:color="auto"/>
              <w:left w:val="nil"/>
              <w:bottom w:val="single" w:sz="4" w:space="0" w:color="auto"/>
              <w:right w:val="single" w:sz="4" w:space="0" w:color="auto"/>
            </w:tcBorders>
            <w:vAlign w:val="center"/>
          </w:tcPr>
          <w:p w14:paraId="1F32A91C" w14:textId="2B872E51" w:rsidR="0092663C" w:rsidRPr="00870D1F" w:rsidRDefault="0092663C" w:rsidP="0092663C">
            <w:pPr>
              <w:spacing w:after="0"/>
              <w:rPr>
                <w:color w:val="000000"/>
                <w:sz w:val="20"/>
                <w:szCs w:val="20"/>
                <w:lang w:eastAsia="sk-SK"/>
              </w:rPr>
            </w:pPr>
            <w:r>
              <w:rPr>
                <w:color w:val="000000"/>
                <w:sz w:val="20"/>
                <w:szCs w:val="20"/>
                <w:lang w:eastAsia="sk-SK"/>
              </w:rPr>
              <w:t>Udržanie veľkosti populácie druhu – v súčasnosti je odhadovaná od 500 do 1500 jedincov</w:t>
            </w:r>
          </w:p>
        </w:tc>
      </w:tr>
      <w:tr w:rsidR="0092663C" w:rsidRPr="00870D1F" w14:paraId="121C19EB" w14:textId="77777777" w:rsidTr="0092663C">
        <w:trPr>
          <w:trHeight w:val="930"/>
        </w:trPr>
        <w:tc>
          <w:tcPr>
            <w:tcW w:w="1500" w:type="dxa"/>
            <w:tcBorders>
              <w:top w:val="nil"/>
              <w:left w:val="single" w:sz="4" w:space="0" w:color="auto"/>
              <w:bottom w:val="single" w:sz="4" w:space="0" w:color="auto"/>
              <w:right w:val="single" w:sz="4" w:space="0" w:color="auto"/>
            </w:tcBorders>
            <w:vAlign w:val="center"/>
          </w:tcPr>
          <w:p w14:paraId="70E37C2E" w14:textId="77777777" w:rsidR="0092663C" w:rsidRPr="00870D1F" w:rsidRDefault="0092663C" w:rsidP="00303EC6">
            <w:pPr>
              <w:rPr>
                <w:color w:val="000000"/>
                <w:sz w:val="20"/>
                <w:szCs w:val="20"/>
                <w:lang w:eastAsia="sk-SK"/>
              </w:rPr>
            </w:pPr>
            <w:r w:rsidRPr="00870D1F">
              <w:rPr>
                <w:color w:val="000000"/>
                <w:sz w:val="20"/>
                <w:szCs w:val="20"/>
                <w:lang w:eastAsia="sk-SK"/>
              </w:rPr>
              <w:t xml:space="preserve">Rozloha </w:t>
            </w:r>
            <w:r>
              <w:rPr>
                <w:color w:val="000000"/>
                <w:sz w:val="20"/>
                <w:szCs w:val="20"/>
                <w:lang w:eastAsia="sk-SK"/>
              </w:rPr>
              <w:t xml:space="preserve">a kvalita </w:t>
            </w:r>
            <w:r w:rsidRPr="00870D1F">
              <w:rPr>
                <w:color w:val="000000"/>
                <w:sz w:val="20"/>
                <w:szCs w:val="20"/>
                <w:lang w:eastAsia="sk-SK"/>
              </w:rPr>
              <w:t>biotopu druhu</w:t>
            </w:r>
          </w:p>
        </w:tc>
        <w:tc>
          <w:tcPr>
            <w:tcW w:w="2081" w:type="dxa"/>
            <w:tcBorders>
              <w:top w:val="nil"/>
              <w:left w:val="nil"/>
              <w:bottom w:val="single" w:sz="4" w:space="0" w:color="auto"/>
              <w:right w:val="single" w:sz="4" w:space="0" w:color="auto"/>
            </w:tcBorders>
            <w:vAlign w:val="center"/>
          </w:tcPr>
          <w:p w14:paraId="621FD33D" w14:textId="77777777" w:rsidR="0092663C" w:rsidRPr="00870D1F" w:rsidRDefault="0092663C" w:rsidP="00303EC6">
            <w:pPr>
              <w:spacing w:after="0"/>
              <w:jc w:val="center"/>
              <w:rPr>
                <w:color w:val="000000"/>
                <w:sz w:val="20"/>
                <w:szCs w:val="20"/>
                <w:lang w:eastAsia="sk-SK"/>
              </w:rPr>
            </w:pPr>
            <w:r w:rsidRPr="00870D1F">
              <w:rPr>
                <w:color w:val="000000"/>
                <w:sz w:val="20"/>
                <w:szCs w:val="20"/>
                <w:lang w:eastAsia="sk-SK"/>
              </w:rPr>
              <w:t>ha</w:t>
            </w:r>
          </w:p>
        </w:tc>
        <w:tc>
          <w:tcPr>
            <w:tcW w:w="1013" w:type="dxa"/>
            <w:tcBorders>
              <w:top w:val="nil"/>
              <w:left w:val="nil"/>
              <w:bottom w:val="single" w:sz="4" w:space="0" w:color="auto"/>
              <w:right w:val="single" w:sz="4" w:space="0" w:color="auto"/>
            </w:tcBorders>
            <w:vAlign w:val="center"/>
          </w:tcPr>
          <w:p w14:paraId="79F7C5F7" w14:textId="6F570991" w:rsidR="0092663C" w:rsidRPr="004672AB" w:rsidRDefault="00BD295F" w:rsidP="00303EC6">
            <w:pPr>
              <w:spacing w:after="0"/>
              <w:jc w:val="center"/>
              <w:rPr>
                <w:sz w:val="20"/>
                <w:szCs w:val="20"/>
                <w:lang w:eastAsia="sk-SK"/>
              </w:rPr>
            </w:pPr>
            <w:r w:rsidRPr="004672AB">
              <w:rPr>
                <w:sz w:val="20"/>
                <w:szCs w:val="20"/>
                <w:lang w:eastAsia="sk-SK"/>
              </w:rPr>
              <w:t>1,5</w:t>
            </w:r>
          </w:p>
        </w:tc>
        <w:tc>
          <w:tcPr>
            <w:tcW w:w="4417" w:type="dxa"/>
            <w:tcBorders>
              <w:top w:val="nil"/>
              <w:left w:val="nil"/>
              <w:bottom w:val="single" w:sz="4" w:space="0" w:color="auto"/>
              <w:right w:val="single" w:sz="4" w:space="0" w:color="auto"/>
            </w:tcBorders>
            <w:vAlign w:val="center"/>
          </w:tcPr>
          <w:p w14:paraId="317289C5" w14:textId="1A5C873D" w:rsidR="0092663C" w:rsidRPr="00870D1F" w:rsidRDefault="0092663C" w:rsidP="00303EC6">
            <w:pPr>
              <w:rPr>
                <w:color w:val="000000"/>
                <w:sz w:val="20"/>
                <w:szCs w:val="20"/>
                <w:lang w:eastAsia="sk-SK"/>
              </w:rPr>
            </w:pPr>
            <w:r w:rsidRPr="00870D1F">
              <w:rPr>
                <w:color w:val="000000"/>
                <w:sz w:val="20"/>
                <w:szCs w:val="20"/>
                <w:lang w:eastAsia="sk-SK"/>
              </w:rPr>
              <w:t xml:space="preserve">Výmera </w:t>
            </w:r>
            <w:r>
              <w:rPr>
                <w:color w:val="000000"/>
                <w:sz w:val="20"/>
                <w:szCs w:val="20"/>
                <w:lang w:eastAsia="sk-SK"/>
              </w:rPr>
              <w:t>lesných okrajov a presvetlených lesov, na suchších aj vlhkejších stanovištiach.</w:t>
            </w:r>
          </w:p>
        </w:tc>
      </w:tr>
      <w:tr w:rsidR="0092663C" w:rsidRPr="00870D1F" w14:paraId="5AE97262" w14:textId="77777777" w:rsidTr="0092663C">
        <w:trPr>
          <w:trHeight w:val="300"/>
        </w:trPr>
        <w:tc>
          <w:tcPr>
            <w:tcW w:w="1500" w:type="dxa"/>
            <w:tcBorders>
              <w:top w:val="nil"/>
              <w:left w:val="single" w:sz="4" w:space="0" w:color="auto"/>
              <w:bottom w:val="single" w:sz="4" w:space="0" w:color="auto"/>
              <w:right w:val="single" w:sz="4" w:space="0" w:color="auto"/>
            </w:tcBorders>
            <w:vAlign w:val="center"/>
          </w:tcPr>
          <w:p w14:paraId="5B1B0D8F" w14:textId="77777777" w:rsidR="0092663C" w:rsidRPr="00870D1F" w:rsidRDefault="0092663C" w:rsidP="00303EC6">
            <w:pPr>
              <w:rPr>
                <w:color w:val="000000"/>
                <w:sz w:val="20"/>
                <w:szCs w:val="20"/>
                <w:lang w:eastAsia="sk-SK"/>
              </w:rPr>
            </w:pPr>
            <w:r w:rsidRPr="00870D1F">
              <w:rPr>
                <w:color w:val="000000"/>
                <w:sz w:val="20"/>
                <w:szCs w:val="20"/>
                <w:lang w:eastAsia="sk-SK"/>
              </w:rPr>
              <w:t>K</w:t>
            </w:r>
            <w:r>
              <w:rPr>
                <w:color w:val="000000"/>
                <w:sz w:val="20"/>
                <w:szCs w:val="20"/>
                <w:lang w:eastAsia="sk-SK"/>
              </w:rPr>
              <w:t>valita potravného biotopu druhu</w:t>
            </w:r>
          </w:p>
        </w:tc>
        <w:tc>
          <w:tcPr>
            <w:tcW w:w="2081" w:type="dxa"/>
            <w:tcBorders>
              <w:top w:val="nil"/>
              <w:left w:val="nil"/>
              <w:bottom w:val="single" w:sz="4" w:space="0" w:color="auto"/>
              <w:right w:val="single" w:sz="4" w:space="0" w:color="auto"/>
            </w:tcBorders>
            <w:vAlign w:val="center"/>
          </w:tcPr>
          <w:p w14:paraId="37E401D7" w14:textId="77777777" w:rsidR="0092663C" w:rsidRPr="00870D1F" w:rsidRDefault="0092663C" w:rsidP="00303EC6">
            <w:pPr>
              <w:spacing w:after="0"/>
              <w:rPr>
                <w:color w:val="000000"/>
                <w:sz w:val="20"/>
                <w:szCs w:val="20"/>
                <w:lang w:eastAsia="sk-SK"/>
              </w:rPr>
            </w:pPr>
            <w:r>
              <w:rPr>
                <w:color w:val="000000"/>
                <w:sz w:val="20"/>
                <w:szCs w:val="20"/>
                <w:lang w:eastAsia="sk-SK"/>
              </w:rPr>
              <w:t>Intenzita využívania</w:t>
            </w:r>
          </w:p>
        </w:tc>
        <w:tc>
          <w:tcPr>
            <w:tcW w:w="1013" w:type="dxa"/>
            <w:tcBorders>
              <w:top w:val="nil"/>
              <w:left w:val="nil"/>
              <w:bottom w:val="single" w:sz="4" w:space="0" w:color="auto"/>
              <w:right w:val="single" w:sz="4" w:space="0" w:color="auto"/>
            </w:tcBorders>
            <w:vAlign w:val="center"/>
          </w:tcPr>
          <w:p w14:paraId="4127553F" w14:textId="77777777" w:rsidR="0092663C" w:rsidRPr="00870D1F" w:rsidRDefault="0092663C" w:rsidP="00303EC6">
            <w:pPr>
              <w:spacing w:after="0"/>
              <w:jc w:val="center"/>
              <w:rPr>
                <w:color w:val="000000"/>
                <w:sz w:val="20"/>
                <w:szCs w:val="20"/>
                <w:lang w:eastAsia="sk-SK"/>
              </w:rPr>
            </w:pPr>
            <w:r>
              <w:rPr>
                <w:color w:val="000000"/>
                <w:sz w:val="20"/>
                <w:szCs w:val="20"/>
                <w:lang w:eastAsia="sk-SK"/>
              </w:rPr>
              <w:t>Len extenzívne využitie</w:t>
            </w:r>
          </w:p>
        </w:tc>
        <w:tc>
          <w:tcPr>
            <w:tcW w:w="4417" w:type="dxa"/>
            <w:tcBorders>
              <w:top w:val="nil"/>
              <w:left w:val="nil"/>
              <w:bottom w:val="single" w:sz="4" w:space="0" w:color="auto"/>
              <w:right w:val="single" w:sz="4" w:space="0" w:color="auto"/>
            </w:tcBorders>
            <w:vAlign w:val="center"/>
          </w:tcPr>
          <w:p w14:paraId="1CFE17F2" w14:textId="6E3D9721" w:rsidR="0092663C" w:rsidRPr="00870D1F" w:rsidRDefault="0092663C" w:rsidP="00303EC6">
            <w:pPr>
              <w:spacing w:after="0"/>
              <w:rPr>
                <w:color w:val="000000"/>
                <w:sz w:val="20"/>
                <w:szCs w:val="20"/>
                <w:lang w:eastAsia="sk-SK"/>
              </w:rPr>
            </w:pPr>
            <w:r>
              <w:rPr>
                <w:color w:val="000000"/>
                <w:sz w:val="20"/>
                <w:szCs w:val="20"/>
                <w:lang w:eastAsia="sk-SK"/>
              </w:rPr>
              <w:t>Extenzívne využívané lúky a pasienky, so zarastajúcimi okrajmi, ponechávanie nedopaskov</w:t>
            </w:r>
          </w:p>
        </w:tc>
      </w:tr>
    </w:tbl>
    <w:p w14:paraId="70584278" w14:textId="77777777" w:rsidR="0092663C" w:rsidRDefault="0092663C" w:rsidP="00E43A23"/>
    <w:p w14:paraId="710F1523" w14:textId="2E904949"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2701D2B1"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AAD666"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36EFFC7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2FB55346"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5A486970"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50D2A1EA"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CA473"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763D829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0C74773" w14:textId="77777777" w:rsidR="00E43A23" w:rsidRPr="00B6615B" w:rsidRDefault="00332CB5" w:rsidP="007E17F5">
            <w:pPr>
              <w:jc w:val="center"/>
              <w:rPr>
                <w:rFonts w:eastAsia="Times New Roman"/>
                <w:sz w:val="20"/>
                <w:szCs w:val="20"/>
                <w:lang w:eastAsia="sk-SK"/>
              </w:rPr>
            </w:pPr>
            <w:r>
              <w:rPr>
                <w:rFonts w:eastAsia="Times New Roman"/>
                <w:sz w:val="20"/>
                <w:szCs w:val="20"/>
                <w:lang w:eastAsia="sk-SK"/>
              </w:rPr>
              <w:t>Viac ako 5</w:t>
            </w:r>
            <w:r w:rsidR="00E43A23" w:rsidRPr="00B6615B">
              <w:rPr>
                <w:rFonts w:eastAsia="Times New Roman"/>
                <w:sz w:val="20"/>
                <w:szCs w:val="20"/>
                <w:lang w:eastAsia="sk-SK"/>
              </w:rPr>
              <w:t>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680CDEF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interval</w:t>
            </w:r>
            <w:r w:rsidR="00332CB5">
              <w:rPr>
                <w:rFonts w:eastAsia="Times New Roman"/>
                <w:sz w:val="20"/>
                <w:szCs w:val="20"/>
                <w:lang w:eastAsia="sk-SK"/>
              </w:rPr>
              <w:t xml:space="preserve"> veľkosti populácie v území 10 – 5</w:t>
            </w:r>
            <w:r w:rsidRPr="00B6615B">
              <w:rPr>
                <w:rFonts w:eastAsia="Times New Roman"/>
                <w:sz w:val="20"/>
                <w:szCs w:val="20"/>
                <w:lang w:eastAsia="sk-SK"/>
              </w:rPr>
              <w:t>0 jedincov (aktuál</w:t>
            </w:r>
            <w:r w:rsidR="00332CB5">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51E2D447"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3B9A7556"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2F942A3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6224BF92" w14:textId="263962A9" w:rsidR="00E43A23" w:rsidRPr="004672AB" w:rsidRDefault="00F9009D" w:rsidP="00E43A23">
            <w:pPr>
              <w:jc w:val="center"/>
              <w:rPr>
                <w:rFonts w:eastAsia="Times New Roman"/>
                <w:sz w:val="20"/>
                <w:szCs w:val="20"/>
                <w:lang w:eastAsia="sk-SK"/>
              </w:rPr>
            </w:pPr>
            <w:r w:rsidRPr="004672AB">
              <w:rPr>
                <w:sz w:val="20"/>
                <w:szCs w:val="20"/>
                <w:lang w:eastAsia="sk-SK"/>
              </w:rPr>
              <w:t>2</w:t>
            </w:r>
          </w:p>
        </w:tc>
        <w:tc>
          <w:tcPr>
            <w:tcW w:w="4105" w:type="dxa"/>
            <w:tcBorders>
              <w:bottom w:val="single" w:sz="4" w:space="0" w:color="00000A"/>
              <w:right w:val="single" w:sz="4" w:space="0" w:color="00000A"/>
            </w:tcBorders>
            <w:shd w:val="clear" w:color="auto" w:fill="auto"/>
            <w:vAlign w:val="center"/>
          </w:tcPr>
          <w:p w14:paraId="36D62F56"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56CAA735"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05F68010"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5C9B983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582C3F5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3487BF8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77D72F2" w14:textId="77777777" w:rsidR="00E43A23" w:rsidRDefault="00E43A23" w:rsidP="00E43A23">
      <w:pPr>
        <w:pStyle w:val="Zkladntext"/>
        <w:widowControl w:val="0"/>
        <w:spacing w:after="120"/>
        <w:ind w:left="360"/>
        <w:jc w:val="both"/>
        <w:rPr>
          <w:b w:val="0"/>
          <w:i/>
        </w:rPr>
      </w:pPr>
    </w:p>
    <w:p w14:paraId="62AF8DD2" w14:textId="77777777" w:rsidR="00C9773B" w:rsidRPr="00626A09" w:rsidRDefault="00C9773B" w:rsidP="00C9773B">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9773B" w:rsidRPr="00652926" w14:paraId="50178A1A"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09E50"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B26218D"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E20ACB"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AC4EF27"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Doplnkové informácie</w:t>
            </w:r>
          </w:p>
        </w:tc>
      </w:tr>
      <w:tr w:rsidR="00C9773B" w:rsidRPr="00652926" w14:paraId="6D55557E"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E69B"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6B09603"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77B26D"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E04E86D"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100 – 500 </w:t>
            </w:r>
            <w:r w:rsidRPr="00652926">
              <w:rPr>
                <w:rFonts w:eastAsia="Times New Roman"/>
                <w:sz w:val="20"/>
                <w:szCs w:val="20"/>
                <w:lang w:eastAsia="sk-SK"/>
              </w:rPr>
              <w:t>jedincov (aktuály údaj / z SDF)</w:t>
            </w:r>
          </w:p>
        </w:tc>
      </w:tr>
      <w:tr w:rsidR="00C9773B" w:rsidRPr="00652926" w14:paraId="43E23DAD" w14:textId="77777777" w:rsidTr="00303EC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DBDAFF1"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113A36A"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97104E2" w14:textId="57FA6685" w:rsidR="00C9773B" w:rsidRPr="004672AB" w:rsidRDefault="00F9009D" w:rsidP="00303EC6">
            <w:pPr>
              <w:jc w:val="center"/>
              <w:rPr>
                <w:rFonts w:eastAsia="Times New Roman"/>
                <w:sz w:val="20"/>
                <w:szCs w:val="20"/>
                <w:lang w:eastAsia="sk-SK"/>
              </w:rPr>
            </w:pPr>
            <w:r w:rsidRPr="004672AB">
              <w:rPr>
                <w:sz w:val="20"/>
                <w:szCs w:val="20"/>
                <w:lang w:eastAsia="sk-SK"/>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1FD510D2" w14:textId="77777777" w:rsidR="00C9773B" w:rsidRDefault="00C9773B" w:rsidP="00303EC6">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BF2FD0A" w14:textId="77777777" w:rsidR="00C9773B" w:rsidRPr="00652926" w:rsidRDefault="00C9773B" w:rsidP="00303EC6">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C9773B" w:rsidRPr="00652926" w14:paraId="2C51A103" w14:textId="77777777" w:rsidTr="00303EC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964F5E8" w14:textId="77777777" w:rsidR="00C9773B" w:rsidRPr="00652926" w:rsidRDefault="00C9773B" w:rsidP="00303EC6">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113A99E1"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02E02FD"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50356ADE" w14:textId="77777777" w:rsidR="00C9773B" w:rsidRPr="00652926" w:rsidRDefault="00C9773B" w:rsidP="00303EC6">
            <w:pPr>
              <w:rPr>
                <w:rFonts w:eastAsia="Times New Roman"/>
                <w:sz w:val="20"/>
                <w:szCs w:val="20"/>
                <w:lang w:eastAsia="sk-SK"/>
              </w:rPr>
            </w:pPr>
            <w:r>
              <w:rPr>
                <w:rFonts w:eastAsia="Times New Roman"/>
                <w:sz w:val="20"/>
                <w:szCs w:val="20"/>
                <w:lang w:eastAsia="sk-SK"/>
              </w:rPr>
              <w:t>Dosiahnuť považovaný počet starších stromov na ha.</w:t>
            </w:r>
          </w:p>
        </w:tc>
      </w:tr>
    </w:tbl>
    <w:p w14:paraId="529ACC2D" w14:textId="77777777" w:rsidR="00C9773B" w:rsidRDefault="00C9773B" w:rsidP="00C9773B"/>
    <w:p w14:paraId="1797BD41" w14:textId="77777777" w:rsidR="00C9773B" w:rsidRPr="00626A09" w:rsidRDefault="00C9773B" w:rsidP="00C9773B">
      <w:pPr>
        <w:rPr>
          <w:rFonts w:eastAsia="Times New Roman"/>
          <w:i/>
          <w:color w:val="000000"/>
          <w:lang w:eastAsia="sk-SK"/>
        </w:rPr>
      </w:pPr>
      <w:r>
        <w:t xml:space="preserve">Zlepšenie stavu druhu </w:t>
      </w:r>
      <w:r>
        <w:rPr>
          <w:rFonts w:eastAsia="Times New Roman"/>
          <w:b/>
          <w:i/>
          <w:color w:val="000000"/>
          <w:lang w:eastAsia="sk-SK"/>
        </w:rPr>
        <w:t>Cerambyx cerdo</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9773B" w:rsidRPr="00652926" w14:paraId="7E16A51E"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3776"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B108355"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8B2913"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CB38589" w14:textId="77777777" w:rsidR="00C9773B" w:rsidRPr="004672AB" w:rsidRDefault="00C9773B" w:rsidP="00303EC6">
            <w:pPr>
              <w:jc w:val="center"/>
              <w:rPr>
                <w:rFonts w:eastAsia="Times New Roman"/>
                <w:b/>
                <w:sz w:val="20"/>
                <w:szCs w:val="20"/>
                <w:lang w:eastAsia="sk-SK"/>
              </w:rPr>
            </w:pPr>
            <w:r w:rsidRPr="004672AB">
              <w:rPr>
                <w:rFonts w:eastAsia="Times New Roman"/>
                <w:b/>
                <w:sz w:val="20"/>
                <w:szCs w:val="20"/>
                <w:lang w:eastAsia="sk-SK"/>
              </w:rPr>
              <w:t>Doplnkové informácie</w:t>
            </w:r>
          </w:p>
        </w:tc>
      </w:tr>
      <w:tr w:rsidR="00C9773B" w:rsidRPr="00652926" w14:paraId="644374AC" w14:textId="77777777" w:rsidTr="00303EC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739F"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5C658130"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19F3E4"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min. 1</w:t>
            </w:r>
            <w:r w:rsidRPr="00652926">
              <w:rPr>
                <w:rFonts w:eastAsia="Times New Roman"/>
                <w:sz w:val="20"/>
                <w:szCs w:val="20"/>
                <w:lang w:eastAsia="sk-SK"/>
              </w:rPr>
              <w:t xml:space="preserve">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7AE496C" w14:textId="77777777" w:rsidR="00C9773B" w:rsidRPr="00652926" w:rsidRDefault="00C9773B" w:rsidP="00C9773B">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do 50 </w:t>
            </w:r>
            <w:r w:rsidRPr="00652926">
              <w:rPr>
                <w:rFonts w:eastAsia="Times New Roman"/>
                <w:sz w:val="20"/>
                <w:szCs w:val="20"/>
                <w:lang w:eastAsia="sk-SK"/>
              </w:rPr>
              <w:t>jedincov (aktuál</w:t>
            </w:r>
            <w:r>
              <w:rPr>
                <w:rFonts w:eastAsia="Times New Roman"/>
                <w:sz w:val="20"/>
                <w:szCs w:val="20"/>
                <w:lang w:eastAsia="sk-SK"/>
              </w:rPr>
              <w:t>n</w:t>
            </w:r>
            <w:r w:rsidRPr="00652926">
              <w:rPr>
                <w:rFonts w:eastAsia="Times New Roman"/>
                <w:sz w:val="20"/>
                <w:szCs w:val="20"/>
                <w:lang w:eastAsia="sk-SK"/>
              </w:rPr>
              <w:t>y údaj / z SDF)</w:t>
            </w:r>
          </w:p>
        </w:tc>
      </w:tr>
      <w:tr w:rsidR="00C9773B" w:rsidRPr="00652926" w14:paraId="513FE3D0" w14:textId="77777777" w:rsidTr="00303EC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ADFCC6B"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6B1E7DB"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218A53C" w14:textId="23CF10C5" w:rsidR="00C9773B" w:rsidRPr="004672AB" w:rsidRDefault="00C9773B" w:rsidP="00303EC6">
            <w:pPr>
              <w:jc w:val="center"/>
              <w:rPr>
                <w:rFonts w:eastAsia="Times New Roman"/>
                <w:sz w:val="20"/>
                <w:szCs w:val="20"/>
                <w:lang w:eastAsia="sk-SK"/>
              </w:rPr>
            </w:pPr>
            <w:r w:rsidRPr="004672AB">
              <w:rPr>
                <w:sz w:val="20"/>
                <w:szCs w:val="20"/>
                <w:lang w:eastAsia="sk-SK"/>
              </w:rPr>
              <w:t>Min</w:t>
            </w:r>
            <w:r w:rsidR="004672AB" w:rsidRPr="004672AB">
              <w:rPr>
                <w:sz w:val="20"/>
                <w:szCs w:val="20"/>
                <w:lang w:eastAsia="sk-SK"/>
              </w:rPr>
              <w:t xml:space="preserve">. </w:t>
            </w:r>
            <w:r w:rsidR="00F9009D" w:rsidRPr="004672AB">
              <w:rPr>
                <w:sz w:val="20"/>
                <w:szCs w:val="20"/>
                <w:lang w:eastAsia="sk-SK"/>
              </w:rPr>
              <w:t>200</w:t>
            </w:r>
          </w:p>
        </w:tc>
        <w:tc>
          <w:tcPr>
            <w:tcW w:w="3670" w:type="dxa"/>
            <w:tcBorders>
              <w:top w:val="nil"/>
              <w:left w:val="nil"/>
              <w:bottom w:val="single" w:sz="4" w:space="0" w:color="auto"/>
              <w:right w:val="single" w:sz="4" w:space="0" w:color="auto"/>
            </w:tcBorders>
            <w:shd w:val="clear" w:color="auto" w:fill="auto"/>
            <w:noWrap/>
            <w:vAlign w:val="center"/>
            <w:hideMark/>
          </w:tcPr>
          <w:p w14:paraId="7687BF1E" w14:textId="77777777" w:rsidR="00C9773B" w:rsidRDefault="00C9773B" w:rsidP="00303EC6">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50BBD74F" w14:textId="77777777" w:rsidR="00C9773B" w:rsidRPr="00652926" w:rsidRDefault="00C9773B" w:rsidP="00303EC6">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C9773B" w:rsidRPr="00652926" w14:paraId="721D6972" w14:textId="77777777" w:rsidTr="00303EC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B1394E8"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594442CD" w14:textId="77777777" w:rsidR="00C9773B" w:rsidRPr="00652926" w:rsidRDefault="00C9773B" w:rsidP="00303EC6">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AC386FE" w14:textId="77777777" w:rsidR="00C9773B" w:rsidRPr="00652926" w:rsidRDefault="00C9773B" w:rsidP="00303EC6">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2A1E93EB" w14:textId="77777777" w:rsidR="00C9773B" w:rsidRPr="00652926" w:rsidRDefault="00C9773B" w:rsidP="00303EC6">
            <w:pPr>
              <w:rPr>
                <w:rFonts w:eastAsia="Times New Roman"/>
                <w:sz w:val="20"/>
                <w:szCs w:val="20"/>
                <w:lang w:eastAsia="sk-SK"/>
              </w:rPr>
            </w:pPr>
            <w:r>
              <w:rPr>
                <w:rFonts w:eastAsia="Times New Roman"/>
                <w:sz w:val="20"/>
                <w:szCs w:val="20"/>
                <w:lang w:eastAsia="sk-SK"/>
              </w:rPr>
              <w:t>Dosiahnuť považovaný počet starších stromov na ha.</w:t>
            </w:r>
          </w:p>
        </w:tc>
      </w:tr>
    </w:tbl>
    <w:p w14:paraId="2975ECA8" w14:textId="77777777" w:rsidR="00C9773B" w:rsidRPr="00B6615B" w:rsidRDefault="00C9773B" w:rsidP="001E4B85">
      <w:pPr>
        <w:pStyle w:val="Zkladntext"/>
        <w:widowControl w:val="0"/>
        <w:spacing w:after="120"/>
        <w:ind w:left="360"/>
        <w:jc w:val="both"/>
        <w:rPr>
          <w:b w:val="0"/>
          <w:i/>
        </w:rPr>
      </w:pPr>
      <w:bookmarkStart w:id="0" w:name="_GoBack"/>
      <w:bookmarkEnd w:id="0"/>
    </w:p>
    <w:sectPr w:rsidR="00C9773B" w:rsidRPr="00B66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1E4B85"/>
    <w:rsid w:val="00332CB5"/>
    <w:rsid w:val="004672AB"/>
    <w:rsid w:val="004F7434"/>
    <w:rsid w:val="00700F12"/>
    <w:rsid w:val="007E17F5"/>
    <w:rsid w:val="0092663C"/>
    <w:rsid w:val="00AF4AEB"/>
    <w:rsid w:val="00BD295F"/>
    <w:rsid w:val="00C9773B"/>
    <w:rsid w:val="00E43A23"/>
    <w:rsid w:val="00ED6AA5"/>
    <w:rsid w:val="00F900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001E"/>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062">
      <w:bodyDiv w:val="1"/>
      <w:marLeft w:val="0"/>
      <w:marRight w:val="0"/>
      <w:marTop w:val="0"/>
      <w:marBottom w:val="0"/>
      <w:divBdr>
        <w:top w:val="none" w:sz="0" w:space="0" w:color="auto"/>
        <w:left w:val="none" w:sz="0" w:space="0" w:color="auto"/>
        <w:bottom w:val="none" w:sz="0" w:space="0" w:color="auto"/>
        <w:right w:val="none" w:sz="0" w:space="0" w:color="auto"/>
      </w:divBdr>
    </w:div>
    <w:div w:id="5892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7673</Characters>
  <Application>Microsoft Office Word</Application>
  <DocSecurity>0</DocSecurity>
  <Lines>63</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2023-08-19T16:57:00Z</dcterms:created>
  <dcterms:modified xsi:type="dcterms:W3CDTF">2023-08-19T16:57:00Z</dcterms:modified>
</cp:coreProperties>
</file>