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66EA6D7B" w:rsidR="000E05DA" w:rsidRDefault="0022535E" w:rsidP="00982999">
      <w:pPr>
        <w:spacing w:line="240" w:lineRule="auto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SKUEV0</w:t>
      </w:r>
      <w:r w:rsidR="00E054A3">
        <w:rPr>
          <w:b/>
          <w:sz w:val="28"/>
          <w:szCs w:val="28"/>
          <w:lang w:eastAsia="cs-CZ"/>
        </w:rPr>
        <w:t>80</w:t>
      </w:r>
      <w:r w:rsidR="000E4287">
        <w:rPr>
          <w:b/>
          <w:sz w:val="28"/>
          <w:szCs w:val="28"/>
          <w:lang w:eastAsia="cs-CZ"/>
        </w:rPr>
        <w:t>6</w:t>
      </w:r>
      <w:r w:rsidR="000E05DA">
        <w:rPr>
          <w:b/>
          <w:sz w:val="28"/>
          <w:szCs w:val="28"/>
          <w:lang w:eastAsia="cs-CZ"/>
        </w:rPr>
        <w:t xml:space="preserve"> </w:t>
      </w:r>
      <w:r w:rsidR="000E4287">
        <w:rPr>
          <w:b/>
          <w:sz w:val="28"/>
          <w:szCs w:val="28"/>
          <w:lang w:eastAsia="cs-CZ"/>
        </w:rPr>
        <w:t>Babiná</w:t>
      </w:r>
    </w:p>
    <w:p w14:paraId="6DE8C982" w14:textId="686653EA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0BFD6055" w14:textId="1D23DD2E" w:rsidR="000E4287" w:rsidRPr="00911FBF" w:rsidRDefault="000E4287" w:rsidP="000E4287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Pr="005E58E4">
        <w:t>stavu</w:t>
      </w:r>
      <w:r w:rsidRPr="00B6615B">
        <w:t xml:space="preserve"> biotopu</w:t>
      </w:r>
      <w:r>
        <w:rPr>
          <w:lang w:val="sk-SK"/>
        </w:rPr>
        <w:t xml:space="preserve"> </w:t>
      </w:r>
      <w:r w:rsidRPr="000E4287">
        <w:rPr>
          <w:b/>
          <w:lang w:val="sk-SK"/>
        </w:rPr>
        <w:t>Tr2</w:t>
      </w:r>
      <w:r w:rsidRPr="00F436A8">
        <w:rPr>
          <w:b/>
        </w:rPr>
        <w:t xml:space="preserve"> </w:t>
      </w:r>
      <w:r w:rsidRPr="00F436A8">
        <w:rPr>
          <w:b/>
          <w:lang w:val="sk-SK"/>
        </w:rPr>
        <w:t>(</w:t>
      </w:r>
      <w:r>
        <w:rPr>
          <w:b/>
        </w:rPr>
        <w:t>624</w:t>
      </w:r>
      <w:r w:rsidRPr="00F436A8">
        <w:rPr>
          <w:b/>
        </w:rPr>
        <w:t>0</w:t>
      </w:r>
      <w:r w:rsidRPr="00F436A8">
        <w:rPr>
          <w:b/>
          <w:lang w:val="sk-SK"/>
        </w:rPr>
        <w:t>)</w:t>
      </w:r>
      <w:r w:rsidRPr="00F436A8">
        <w:rPr>
          <w:b/>
        </w:rPr>
        <w:t xml:space="preserve"> </w:t>
      </w:r>
      <w:proofErr w:type="spellStart"/>
      <w:r>
        <w:rPr>
          <w:b/>
          <w:lang w:val="sk-SK"/>
        </w:rPr>
        <w:t>Subpanónske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travinnobylinné</w:t>
      </w:r>
      <w:proofErr w:type="spellEnd"/>
      <w:r>
        <w:rPr>
          <w:b/>
          <w:lang w:val="sk-SK"/>
        </w:rPr>
        <w:t xml:space="preserve"> porasty </w:t>
      </w:r>
      <w:r w:rsidRPr="00911FBF"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2021"/>
        <w:gridCol w:w="1558"/>
        <w:gridCol w:w="3761"/>
      </w:tblGrid>
      <w:tr w:rsidR="000E4287" w:rsidRPr="00B5396C" w14:paraId="70816621" w14:textId="77777777" w:rsidTr="634B56C7">
        <w:trPr>
          <w:trHeight w:val="705"/>
        </w:trPr>
        <w:tc>
          <w:tcPr>
            <w:tcW w:w="2206" w:type="dxa"/>
            <w:shd w:val="clear" w:color="auto" w:fill="auto"/>
            <w:vAlign w:val="center"/>
            <w:hideMark/>
          </w:tcPr>
          <w:p w14:paraId="1CB30C9B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1BF75626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B0C059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69D020A6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0E4287" w:rsidRPr="00B5396C" w14:paraId="73F806B1" w14:textId="77777777" w:rsidTr="634B56C7">
        <w:trPr>
          <w:trHeight w:val="290"/>
        </w:trPr>
        <w:tc>
          <w:tcPr>
            <w:tcW w:w="2206" w:type="dxa"/>
            <w:shd w:val="clear" w:color="auto" w:fill="auto"/>
            <w:vAlign w:val="center"/>
            <w:hideMark/>
          </w:tcPr>
          <w:p w14:paraId="2F37FA6C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118ED395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ha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57C682" w14:textId="3F8DA792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556738B9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Udržať existujúcu výmeru biotopu. </w:t>
            </w:r>
          </w:p>
        </w:tc>
      </w:tr>
      <w:tr w:rsidR="000E4287" w:rsidRPr="00B5396C" w14:paraId="775DDF88" w14:textId="77777777" w:rsidTr="634B56C7">
        <w:trPr>
          <w:trHeight w:val="563"/>
        </w:trPr>
        <w:tc>
          <w:tcPr>
            <w:tcW w:w="2206" w:type="dxa"/>
            <w:shd w:val="clear" w:color="auto" w:fill="auto"/>
            <w:vAlign w:val="center"/>
            <w:hideMark/>
          </w:tcPr>
          <w:p w14:paraId="0D25AD50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79769706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58CAD86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najmenej 10 druhov 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10E9E0B3" w14:textId="7A30A2CE" w:rsidR="000E4287" w:rsidRPr="00B5396C" w:rsidRDefault="634B56C7" w:rsidP="009829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634B56C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Charakteristické/typické druhy:  </w:t>
            </w:r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caryophyllea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humilis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Festuca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rupicola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Koeleria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macrantha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Linum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tenuifolium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Medicago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minima,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Melampyrum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pratense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Melica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ciliata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Orchis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militaris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Pilosella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bauhinii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Potentilla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arenaria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Sanguisorba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minor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Scabiosa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ochroleuca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Seseli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hippomarathrum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Seseli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osseum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Stipa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capillata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Stipa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joannis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Stipa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pulcherrima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>,</w:t>
            </w:r>
            <w:r w:rsidR="0098299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82999">
              <w:rPr>
                <w:i/>
                <w:iCs/>
                <w:sz w:val="20"/>
                <w:szCs w:val="20"/>
              </w:rPr>
              <w:t>Teucrium</w:t>
            </w:r>
            <w:proofErr w:type="spellEnd"/>
            <w:r w:rsidR="0098299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82999">
              <w:rPr>
                <w:i/>
                <w:iCs/>
                <w:sz w:val="20"/>
                <w:szCs w:val="20"/>
              </w:rPr>
              <w:t>chamaedrys</w:t>
            </w:r>
            <w:proofErr w:type="spellEnd"/>
            <w:r w:rsidR="0098299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Trifolium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i/>
                <w:iCs/>
                <w:sz w:val="20"/>
                <w:szCs w:val="20"/>
              </w:rPr>
              <w:t>ochroleucon</w:t>
            </w:r>
            <w:proofErr w:type="spellEnd"/>
            <w:r w:rsidRPr="634B56C7">
              <w:rPr>
                <w:i/>
                <w:iCs/>
                <w:sz w:val="20"/>
                <w:szCs w:val="20"/>
              </w:rPr>
              <w:t xml:space="preserve">, </w:t>
            </w:r>
          </w:p>
        </w:tc>
      </w:tr>
      <w:tr w:rsidR="000E4287" w:rsidRPr="00B5396C" w14:paraId="77651855" w14:textId="77777777" w:rsidTr="634B56C7">
        <w:trPr>
          <w:trHeight w:val="290"/>
        </w:trPr>
        <w:tc>
          <w:tcPr>
            <w:tcW w:w="2206" w:type="dxa"/>
            <w:shd w:val="clear" w:color="auto" w:fill="auto"/>
            <w:vAlign w:val="center"/>
            <w:hideMark/>
          </w:tcPr>
          <w:p w14:paraId="6755608F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51664D67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CB44122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Menej ako 10 %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0A339198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Dosiahnuté minimálne zastúpenie drevín v biotope.</w:t>
            </w:r>
          </w:p>
        </w:tc>
      </w:tr>
      <w:tr w:rsidR="000E4287" w:rsidRPr="00B5396C" w14:paraId="76BDD09C" w14:textId="77777777" w:rsidTr="634B56C7">
        <w:trPr>
          <w:trHeight w:val="404"/>
        </w:trPr>
        <w:tc>
          <w:tcPr>
            <w:tcW w:w="2206" w:type="dxa"/>
            <w:shd w:val="clear" w:color="auto" w:fill="auto"/>
            <w:vAlign w:val="center"/>
            <w:hideMark/>
          </w:tcPr>
          <w:p w14:paraId="7C6363D8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B5396C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B5396C">
              <w:rPr>
                <w:rFonts w:eastAsia="Times New Roman"/>
                <w:color w:val="000000"/>
                <w:sz w:val="20"/>
                <w:szCs w:val="20"/>
              </w:rPr>
              <w:t>/</w:t>
            </w:r>
          </w:p>
          <w:p w14:paraId="0BFA5620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inváznych/invázne sa správajúcich druhov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1DC6B875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percento pokrytia/25 m2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B9F2822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53D39311" w14:textId="77777777" w:rsidR="000E4287" w:rsidRPr="00B5396C" w:rsidRDefault="000E4287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Bez výskytu nepôvodných a inváznych druhov na území.</w:t>
            </w:r>
          </w:p>
        </w:tc>
      </w:tr>
    </w:tbl>
    <w:p w14:paraId="3FB4F367" w14:textId="77777777" w:rsidR="000E4287" w:rsidRDefault="000E4287" w:rsidP="00D45B49">
      <w:pPr>
        <w:pStyle w:val="Zkladntext"/>
        <w:widowControl w:val="0"/>
        <w:jc w:val="both"/>
        <w:rPr>
          <w:lang w:val="sk-SK"/>
        </w:rPr>
      </w:pPr>
    </w:p>
    <w:p w14:paraId="33749F78" w14:textId="1B239918" w:rsidR="00D45B49" w:rsidRPr="00911FBF" w:rsidRDefault="000E4287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Zlepšenie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D45B49" w:rsidRPr="00B6615B" w14:paraId="6B0D2D00" w14:textId="77777777" w:rsidTr="00E0168C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6917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75806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8B731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CAEA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14:paraId="51671CC1" w14:textId="77777777" w:rsidTr="00E0168C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44977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34CCC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5FD9B" w14:textId="121D8FE1" w:rsidR="00D45B49" w:rsidRPr="00B6615B" w:rsidRDefault="000E4287" w:rsidP="00E0168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F18CC" w14:textId="78E2E185"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14:paraId="625603D7" w14:textId="77777777" w:rsidTr="00E0168C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6FF5C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F782A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1B3F5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1898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lastRenderedPageBreak/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14:paraId="4C26FED6" w14:textId="77777777" w:rsidTr="00E0168C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E3C5B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lastRenderedPageBreak/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E1C1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487E90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C3CD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14:paraId="5C2DE1F8" w14:textId="77777777" w:rsidTr="00E0168C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B45D1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20FE2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82A58" w14:textId="77777777" w:rsidR="00D45B49" w:rsidRPr="00B6615B" w:rsidRDefault="00D45B49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D3242" w14:textId="77777777" w:rsidR="00D45B49" w:rsidRPr="00B6615B" w:rsidRDefault="00D45B49" w:rsidP="00E0168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6742D8AF" w14:textId="77777777"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p w14:paraId="53AF56DE" w14:textId="7F054A9C" w:rsidR="000E05DA" w:rsidRPr="00626A09" w:rsidRDefault="00D45B49" w:rsidP="0060488B">
      <w:pPr>
        <w:pStyle w:val="Zkladntext"/>
        <w:widowControl w:val="0"/>
        <w:jc w:val="both"/>
      </w:pPr>
      <w:r>
        <w:rPr>
          <w:lang w:val="sk-SK"/>
        </w:rPr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2BB1E009" w:rsidR="000E05DA" w:rsidRPr="003509FA" w:rsidRDefault="000E4287" w:rsidP="002B021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DA19FF">
              <w:rPr>
                <w:rFonts w:eastAsia="Times New Roman"/>
                <w:sz w:val="18"/>
                <w:szCs w:val="18"/>
              </w:rPr>
              <w:t>8</w:t>
            </w:r>
            <w:r>
              <w:rPr>
                <w:rFonts w:eastAsia="Times New Roman"/>
                <w:sz w:val="18"/>
                <w:szCs w:val="18"/>
              </w:rPr>
              <w:t>,12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000560C8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6C703373" w:rsidR="000E05DA" w:rsidRPr="003509FA" w:rsidRDefault="00982999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000560C8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982999" w:rsidRPr="003509FA" w14:paraId="0ED68EF8" w14:textId="77777777" w:rsidTr="000560C8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982999" w:rsidRPr="003509FA" w:rsidRDefault="00982999" w:rsidP="0098299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982999" w:rsidRPr="003509FA" w:rsidRDefault="00982999" w:rsidP="0098299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982999" w:rsidRPr="003509FA" w:rsidRDefault="00982999" w:rsidP="0098299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77FE3D23" w:rsidR="00982999" w:rsidRPr="003509FA" w:rsidRDefault="00982999" w:rsidP="0098299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61A1FD02" w:rsidR="000E05DA" w:rsidRDefault="000E05DA" w:rsidP="000E05DA">
      <w:pPr>
        <w:spacing w:line="240" w:lineRule="auto"/>
        <w:ind w:left="360"/>
        <w:jc w:val="both"/>
      </w:pPr>
    </w:p>
    <w:p w14:paraId="667A545A" w14:textId="5DFF0A65" w:rsidR="00DA19FF" w:rsidRDefault="00DA19FF" w:rsidP="00DA19FF">
      <w:pPr>
        <w:spacing w:line="240" w:lineRule="auto"/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</w:t>
      </w:r>
      <w:r>
        <w:rPr>
          <w:b/>
          <w:color w:val="000000"/>
          <w:szCs w:val="24"/>
        </w:rPr>
        <w:t>Pi5 (611</w:t>
      </w:r>
      <w:r w:rsidRPr="007657C5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*</w:t>
      </w:r>
      <w:r w:rsidRPr="007657C5">
        <w:rPr>
          <w:b/>
          <w:color w:val="000000"/>
          <w:szCs w:val="24"/>
        </w:rPr>
        <w:t xml:space="preserve">) </w:t>
      </w:r>
      <w:r>
        <w:rPr>
          <w:b/>
          <w:color w:val="000000"/>
          <w:szCs w:val="24"/>
        </w:rPr>
        <w:t xml:space="preserve">Pionierske porasty na plytkých </w:t>
      </w:r>
      <w:proofErr w:type="spellStart"/>
      <w:r>
        <w:rPr>
          <w:b/>
          <w:color w:val="000000"/>
          <w:szCs w:val="24"/>
        </w:rPr>
        <w:t>karbonátových</w:t>
      </w:r>
      <w:proofErr w:type="spellEnd"/>
      <w:r>
        <w:rPr>
          <w:b/>
          <w:color w:val="000000"/>
          <w:szCs w:val="24"/>
        </w:rPr>
        <w:t xml:space="preserve"> a bázických substrátoch zväzu </w:t>
      </w:r>
      <w:proofErr w:type="spellStart"/>
      <w:r>
        <w:rPr>
          <w:b/>
          <w:i/>
          <w:color w:val="000000"/>
          <w:szCs w:val="24"/>
        </w:rPr>
        <w:t>Alysso-Sedion</w:t>
      </w:r>
      <w:proofErr w:type="spellEnd"/>
      <w:r>
        <w:rPr>
          <w:b/>
          <w:i/>
          <w:color w:val="000000"/>
          <w:szCs w:val="24"/>
        </w:rPr>
        <w:t xml:space="preserve"> </w:t>
      </w:r>
      <w:proofErr w:type="spellStart"/>
      <w:r>
        <w:rPr>
          <w:b/>
          <w:i/>
          <w:color w:val="000000"/>
          <w:szCs w:val="24"/>
        </w:rPr>
        <w:t>albi</w:t>
      </w:r>
      <w:proofErr w:type="spellEnd"/>
      <w:r>
        <w:rPr>
          <w:b/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>za splnenia nasledovných atribútov:</w:t>
      </w:r>
    </w:p>
    <w:tbl>
      <w:tblPr>
        <w:tblW w:w="5147" w:type="pct"/>
        <w:tblInd w:w="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1251"/>
        <w:gridCol w:w="1018"/>
        <w:gridCol w:w="4253"/>
      </w:tblGrid>
      <w:tr w:rsidR="00DA19FF" w:rsidRPr="00C92F0B" w14:paraId="1B43EDF8" w14:textId="77777777" w:rsidTr="634B56C7"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72AB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DD84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F129" w14:textId="77777777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946C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DA19FF" w:rsidRPr="00C92F0B" w14:paraId="43017F86" w14:textId="77777777" w:rsidTr="634B56C7"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ACE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DCB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rFonts w:eastAsia="Times New Roman"/>
                <w:color w:val="000000"/>
                <w:sz w:val="20"/>
                <w:szCs w:val="20"/>
              </w:rPr>
              <w:t xml:space="preserve">ha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DFC" w14:textId="1BC05B80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</w:t>
            </w:r>
            <w:r w:rsidR="000E4287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332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Zachovať súčasnú </w:t>
            </w:r>
            <w:r w:rsidRPr="00C92F0B">
              <w:rPr>
                <w:rFonts w:eastAsia="Times New Roman"/>
                <w:color w:val="000000"/>
                <w:sz w:val="20"/>
                <w:szCs w:val="20"/>
              </w:rPr>
              <w:t>výmeru biotopu</w:t>
            </w:r>
          </w:p>
        </w:tc>
      </w:tr>
      <w:tr w:rsidR="00DA19FF" w:rsidRPr="00C92F0B" w14:paraId="7F11E9B1" w14:textId="77777777" w:rsidTr="634B56C7">
        <w:trPr>
          <w:trHeight w:val="290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02FC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4614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4084" w14:textId="77777777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B3DD" w14:textId="5709DDA7" w:rsidR="00DA19FF" w:rsidRPr="00C92F0B" w:rsidRDefault="634B56C7" w:rsidP="0098299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634B56C7">
              <w:rPr>
                <w:color w:val="000000" w:themeColor="text1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Acinos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arvensis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Allium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flavum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Allium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senescens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Alyssum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alyssoides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serpyllifolia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Cerastium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pumilum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Erophila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verna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pallens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Jovibarba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globifera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subsp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glabrescens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Medicago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minima,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badensis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bulbosa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Potentilla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Racomitrum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canescens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tridactylites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acre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album,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sexangulare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Teucryum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chamaedris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Thlaspi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prefoliatum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Valerianella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dentata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Valerianella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locusta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Veronica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arvensis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Veronica</w:t>
            </w:r>
            <w:proofErr w:type="spellEnd"/>
            <w:r w:rsidRPr="634B56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4B56C7">
              <w:rPr>
                <w:color w:val="000000" w:themeColor="text1"/>
                <w:sz w:val="20"/>
                <w:szCs w:val="20"/>
              </w:rPr>
              <w:t>praecox</w:t>
            </w:r>
            <w:proofErr w:type="spellEnd"/>
          </w:p>
        </w:tc>
      </w:tr>
      <w:tr w:rsidR="00DA19FF" w:rsidRPr="00C92F0B" w14:paraId="4C28506D" w14:textId="77777777" w:rsidTr="634B56C7">
        <w:trPr>
          <w:trHeight w:val="29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2548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3045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9D4E" w14:textId="77777777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BC2A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Bylinná etáž zapojená približne na 15%, krovinová  a drevinová etáž zapojená max. na 15%.</w:t>
            </w:r>
          </w:p>
        </w:tc>
      </w:tr>
      <w:tr w:rsidR="00DA19FF" w:rsidRPr="00C92F0B" w14:paraId="7BAF11F0" w14:textId="77777777" w:rsidTr="634B56C7">
        <w:trPr>
          <w:trHeight w:val="85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624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92F0B">
              <w:rPr>
                <w:color w:val="000000"/>
                <w:sz w:val="20"/>
                <w:szCs w:val="20"/>
              </w:rPr>
              <w:t>alochtónnych</w:t>
            </w:r>
            <w:proofErr w:type="spellEnd"/>
            <w:r w:rsidRPr="00C92F0B">
              <w:rPr>
                <w:color w:val="000000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762D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0AF" w14:textId="77777777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63A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14:paraId="1C1EB120" w14:textId="77777777" w:rsidR="00BA37A0" w:rsidRDefault="00BA37A0" w:rsidP="002B021B">
      <w:pPr>
        <w:spacing w:line="240" w:lineRule="auto"/>
        <w:jc w:val="both"/>
        <w:rPr>
          <w:szCs w:val="24"/>
        </w:rPr>
      </w:pPr>
    </w:p>
    <w:p w14:paraId="3525E4DC" w14:textId="319E2C85" w:rsidR="002B021B" w:rsidRDefault="002B021B" w:rsidP="002B021B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b/>
          <w:szCs w:val="24"/>
        </w:rPr>
        <w:t>priadkovec</w:t>
      </w:r>
      <w:proofErr w:type="spellEnd"/>
      <w:r w:rsidRPr="00E64259">
        <w:rPr>
          <w:b/>
          <w:szCs w:val="24"/>
        </w:rPr>
        <w:t xml:space="preserve"> trnkový (</w:t>
      </w:r>
      <w:proofErr w:type="spellStart"/>
      <w:r w:rsidRPr="00E64259">
        <w:rPr>
          <w:b/>
          <w:i/>
          <w:szCs w:val="24"/>
        </w:rPr>
        <w:t>Eriogaster</w:t>
      </w:r>
      <w:proofErr w:type="spellEnd"/>
      <w:r w:rsidRPr="00E64259">
        <w:rPr>
          <w:b/>
          <w:i/>
          <w:szCs w:val="24"/>
        </w:rPr>
        <w:t xml:space="preserve"> </w:t>
      </w:r>
      <w:proofErr w:type="spellStart"/>
      <w:r w:rsidRPr="00E64259">
        <w:rPr>
          <w:b/>
          <w:i/>
          <w:szCs w:val="24"/>
        </w:rPr>
        <w:t>catax</w:t>
      </w:r>
      <w:proofErr w:type="spellEnd"/>
      <w:r w:rsidRPr="00E64259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843"/>
        <w:gridCol w:w="1556"/>
        <w:gridCol w:w="4189"/>
      </w:tblGrid>
      <w:tr w:rsidR="002B021B" w:rsidRPr="00626A09" w14:paraId="494B2443" w14:textId="77777777" w:rsidTr="00982999">
        <w:trPr>
          <w:trHeight w:val="53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A637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3ABD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C2552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B1A0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2B021B" w:rsidRPr="00626A09" w14:paraId="74945D8E" w14:textId="77777777" w:rsidTr="00982999">
        <w:trPr>
          <w:trHeight w:val="55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FB6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FCFF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A159" w14:textId="0FFEB16A" w:rsidR="002B021B" w:rsidRPr="00E81D0D" w:rsidRDefault="002B021B" w:rsidP="002B02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najmenej </w:t>
            </w:r>
            <w:r w:rsidR="00AA6F82">
              <w:rPr>
                <w:sz w:val="20"/>
                <w:szCs w:val="20"/>
              </w:rPr>
              <w:t>1</w:t>
            </w:r>
            <w:r w:rsidR="00F97F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D97" w14:textId="649B32E8" w:rsidR="002B021B" w:rsidRPr="00E81D0D" w:rsidRDefault="3161B65C" w:rsidP="009829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161B65C">
              <w:rPr>
                <w:sz w:val="20"/>
                <w:szCs w:val="20"/>
              </w:rPr>
              <w:t xml:space="preserve">odhaduje sa na veľkosť 10 až 100 jedincov (SDF), zvýšiť početnosť na min. 100 jedincov </w:t>
            </w:r>
          </w:p>
        </w:tc>
      </w:tr>
      <w:tr w:rsidR="002B021B" w:rsidRPr="00626A09" w14:paraId="0ECF2B75" w14:textId="77777777" w:rsidTr="00982999">
        <w:trPr>
          <w:trHeight w:val="44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729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35B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46D0" w14:textId="1D14DBAC" w:rsidR="002B021B" w:rsidRPr="00E81D0D" w:rsidRDefault="634B56C7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34B56C7">
              <w:rPr>
                <w:sz w:val="20"/>
                <w:szCs w:val="20"/>
              </w:rPr>
              <w:t>najmenej 5 ha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8409" w14:textId="77777777" w:rsidR="002B021B" w:rsidRPr="00E81D0D" w:rsidRDefault="002B021B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2B021B" w:rsidRPr="00626A09" w14:paraId="4C0EE280" w14:textId="77777777" w:rsidTr="00982999">
        <w:trPr>
          <w:trHeight w:val="817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758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EB85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AE8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4BF6" w14:textId="77777777" w:rsidR="002B021B" w:rsidRPr="00E81D0D" w:rsidRDefault="002B021B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982999" w:rsidRPr="00626A09" w14:paraId="0C88E776" w14:textId="77777777" w:rsidTr="00982999">
        <w:trPr>
          <w:trHeight w:val="112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422F0" w14:textId="67BA7D3D" w:rsidR="00982999" w:rsidRPr="00E81D0D" w:rsidRDefault="00982999" w:rsidP="009829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D343F" w14:textId="19001656" w:rsidR="00982999" w:rsidRPr="00E81D0D" w:rsidRDefault="00982999" w:rsidP="009829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inváznych a potenciálne inváznych </w:t>
            </w:r>
            <w:r>
              <w:rPr>
                <w:sz w:val="20"/>
                <w:szCs w:val="20"/>
              </w:rPr>
              <w:t xml:space="preserve">drevín </w:t>
            </w:r>
            <w:r w:rsidRPr="00EF3711">
              <w:rPr>
                <w:sz w:val="20"/>
                <w:szCs w:val="20"/>
              </w:rPr>
              <w:t xml:space="preserve">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0D76" w14:textId="5F347868" w:rsidR="00982999" w:rsidRPr="00E81D0D" w:rsidRDefault="00982999" w:rsidP="009829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8320AA" w14:textId="31E56EA0" w:rsidR="00982999" w:rsidRPr="00E81D0D" w:rsidRDefault="00982999" w:rsidP="0098299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Udržať sekundárnu sukcesiu </w:t>
            </w:r>
            <w:r w:rsidRPr="00EF3711">
              <w:rPr>
                <w:sz w:val="20"/>
                <w:szCs w:val="20"/>
              </w:rPr>
              <w:t>inváznych a potenciálne inváznych</w:t>
            </w:r>
            <w:r>
              <w:rPr>
                <w:sz w:val="20"/>
                <w:szCs w:val="20"/>
              </w:rPr>
              <w:t xml:space="preserve"> druhov </w:t>
            </w:r>
            <w:r w:rsidRPr="00EF3711">
              <w:rPr>
                <w:sz w:val="20"/>
                <w:szCs w:val="20"/>
              </w:rPr>
              <w:t xml:space="preserve"> na lokalite max. do 3%</w:t>
            </w:r>
          </w:p>
        </w:tc>
      </w:tr>
    </w:tbl>
    <w:p w14:paraId="7B245B34" w14:textId="77777777" w:rsidR="002B021B" w:rsidRPr="001921C3" w:rsidRDefault="002B021B" w:rsidP="002B021B">
      <w:pPr>
        <w:spacing w:line="240" w:lineRule="auto"/>
        <w:ind w:left="360"/>
        <w:jc w:val="both"/>
      </w:pPr>
    </w:p>
    <w:p w14:paraId="3CCBC2B7" w14:textId="7DF84698" w:rsidR="002B021B" w:rsidRDefault="002B021B" w:rsidP="002B021B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Lycaena</w:t>
      </w:r>
      <w:proofErr w:type="spellEnd"/>
      <w:r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dispar</w:t>
      </w:r>
      <w:proofErr w:type="spellEnd"/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2B021B" w14:paraId="551A9D90" w14:textId="77777777" w:rsidTr="3161B65C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C4D0" w14:textId="77777777" w:rsidR="002B021B" w:rsidRPr="00982999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999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53B3" w14:textId="77777777" w:rsidR="002B021B" w:rsidRPr="00982999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999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E8D9" w14:textId="77777777" w:rsidR="002B021B" w:rsidRPr="00982999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999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91C" w14:textId="77777777" w:rsidR="002B021B" w:rsidRPr="00982999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999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2B021B" w14:paraId="54319CFA" w14:textId="77777777" w:rsidTr="3161B65C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B87B5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2843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4F69" w14:textId="2C00B601" w:rsidR="002B021B" w:rsidRDefault="002B021B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najmenej </w:t>
            </w:r>
            <w:r w:rsidR="003E7D1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240C" w14:textId="5518CC86" w:rsidR="002B021B" w:rsidRDefault="3161B65C" w:rsidP="009829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161B65C">
              <w:rPr>
                <w:rFonts w:eastAsia="Times New Roman"/>
                <w:sz w:val="20"/>
                <w:szCs w:val="20"/>
              </w:rPr>
              <w:t>odhaduje sa na veľkosť do 10 jedincov (SDF), min. udržanie veľkosti populácie</w:t>
            </w:r>
          </w:p>
        </w:tc>
      </w:tr>
      <w:tr w:rsidR="002B021B" w14:paraId="0A02DCB6" w14:textId="77777777" w:rsidTr="3161B65C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FFAA4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1490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8785" w14:textId="7D07660E" w:rsidR="002B021B" w:rsidRDefault="755745F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55745F6">
              <w:rPr>
                <w:rFonts w:eastAsia="Times New Roman"/>
                <w:sz w:val="20"/>
                <w:szCs w:val="20"/>
              </w:rPr>
              <w:t>najmenej 0,5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BD6C" w14:textId="2CEC9D13" w:rsidR="002B021B" w:rsidRDefault="755745F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755745F6">
              <w:rPr>
                <w:rFonts w:eastAsia="Times New Roman"/>
                <w:sz w:val="20"/>
                <w:szCs w:val="20"/>
              </w:rPr>
              <w:t>V území nie je vodný tok, typické biotopy druhu (</w:t>
            </w:r>
            <w:r w:rsidRPr="755745F6">
              <w:rPr>
                <w:rFonts w:eastAsia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755745F6"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 w:rsidRPr="755745F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55745F6"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 w:rsidRPr="755745F6">
              <w:rPr>
                <w:rFonts w:eastAsia="Times New Roman"/>
                <w:sz w:val="20"/>
                <w:szCs w:val="20"/>
              </w:rPr>
              <w:t>.)</w:t>
            </w:r>
            <w:r w:rsidRPr="755745F6">
              <w:rPr>
                <w:rFonts w:eastAsia="Times New Roman"/>
                <w:sz w:val="20"/>
                <w:szCs w:val="20"/>
              </w:rPr>
              <w:t xml:space="preserve"> nie sú, prítomné sú </w:t>
            </w:r>
            <w:proofErr w:type="spellStart"/>
            <w:r w:rsidRPr="755745F6">
              <w:rPr>
                <w:rFonts w:eastAsia="Times New Roman"/>
                <w:sz w:val="20"/>
                <w:szCs w:val="20"/>
              </w:rPr>
              <w:t>mezofilné</w:t>
            </w:r>
            <w:proofErr w:type="spellEnd"/>
            <w:r w:rsidRPr="755745F6">
              <w:rPr>
                <w:rFonts w:eastAsia="Times New Roman"/>
                <w:sz w:val="20"/>
                <w:szCs w:val="20"/>
              </w:rPr>
              <w:t xml:space="preserve"> lúky s výskytom štiavu</w:t>
            </w:r>
          </w:p>
        </w:tc>
      </w:tr>
      <w:tr w:rsidR="002B021B" w14:paraId="63D57A5B" w14:textId="77777777" w:rsidTr="3161B65C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EAFD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C095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D159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C062B" w14:textId="0C52B826" w:rsidR="002B021B" w:rsidRDefault="755745F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755745F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zachovanie lúčnej vegetácie </w:t>
            </w:r>
            <w:bookmarkStart w:id="0" w:name="_GoBack"/>
            <w:bookmarkEnd w:id="0"/>
            <w:r w:rsidRPr="755745F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s hostiteľskou rastlinou </w:t>
            </w:r>
            <w:proofErr w:type="spellStart"/>
            <w:r w:rsidRPr="755745F6">
              <w:rPr>
                <w:rFonts w:eastAsia="Times New Roman"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755745F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55745F6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55745F6">
              <w:rPr>
                <w:rFonts w:eastAsia="Times New Roman"/>
                <w:color w:val="000000" w:themeColor="text1"/>
                <w:sz w:val="20"/>
                <w:szCs w:val="20"/>
              </w:rPr>
              <w:t>. V zastúpení min. 20 %</w:t>
            </w:r>
          </w:p>
        </w:tc>
      </w:tr>
    </w:tbl>
    <w:p w14:paraId="5697A958" w14:textId="6ADA64F2" w:rsidR="0022535E" w:rsidRDefault="0022535E" w:rsidP="00140708">
      <w:pPr>
        <w:pStyle w:val="Zkladntext"/>
        <w:widowControl w:val="0"/>
        <w:jc w:val="both"/>
        <w:rPr>
          <w:lang w:val="sk-SK"/>
        </w:rPr>
      </w:pPr>
    </w:p>
    <w:sectPr w:rsidR="0022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71BEC"/>
    <w:rsid w:val="001E6775"/>
    <w:rsid w:val="00203B08"/>
    <w:rsid w:val="0022535E"/>
    <w:rsid w:val="00240459"/>
    <w:rsid w:val="002B021B"/>
    <w:rsid w:val="002E60DF"/>
    <w:rsid w:val="003509FA"/>
    <w:rsid w:val="003E7D17"/>
    <w:rsid w:val="003E7F90"/>
    <w:rsid w:val="00476AF7"/>
    <w:rsid w:val="004B5E26"/>
    <w:rsid w:val="004F7434"/>
    <w:rsid w:val="00562BB2"/>
    <w:rsid w:val="005B68C6"/>
    <w:rsid w:val="005C00AB"/>
    <w:rsid w:val="0060488B"/>
    <w:rsid w:val="00687A45"/>
    <w:rsid w:val="006A695F"/>
    <w:rsid w:val="00713326"/>
    <w:rsid w:val="008C230F"/>
    <w:rsid w:val="008D7440"/>
    <w:rsid w:val="009667BE"/>
    <w:rsid w:val="00982999"/>
    <w:rsid w:val="00A4711A"/>
    <w:rsid w:val="00A5789F"/>
    <w:rsid w:val="00A81817"/>
    <w:rsid w:val="00AA6F82"/>
    <w:rsid w:val="00AB2A2D"/>
    <w:rsid w:val="00BA37A0"/>
    <w:rsid w:val="00BF1520"/>
    <w:rsid w:val="00C65C57"/>
    <w:rsid w:val="00C9571F"/>
    <w:rsid w:val="00D45B49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00F97F55"/>
    <w:rsid w:val="0AE4E231"/>
    <w:rsid w:val="3161B65C"/>
    <w:rsid w:val="634B56C7"/>
    <w:rsid w:val="7557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2342c37f38d04e69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10</cp:revision>
  <dcterms:created xsi:type="dcterms:W3CDTF">2023-05-30T12:25:00Z</dcterms:created>
  <dcterms:modified xsi:type="dcterms:W3CDTF">2023-08-04T11:08:00Z</dcterms:modified>
</cp:coreProperties>
</file>