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416414B" w:rsidR="000E05DA" w:rsidRDefault="0022535E" w:rsidP="00D863D7">
      <w:pPr>
        <w:spacing w:line="240" w:lineRule="auto"/>
        <w:jc w:val="both"/>
        <w:rPr>
          <w:b/>
          <w:sz w:val="28"/>
          <w:szCs w:val="28"/>
          <w:lang w:eastAsia="cs-CZ"/>
        </w:rPr>
      </w:pPr>
      <w:r>
        <w:rPr>
          <w:b/>
          <w:sz w:val="28"/>
          <w:szCs w:val="28"/>
          <w:lang w:eastAsia="cs-CZ"/>
        </w:rPr>
        <w:t>SKUEV0</w:t>
      </w:r>
      <w:r w:rsidR="00E054A3">
        <w:rPr>
          <w:b/>
          <w:sz w:val="28"/>
          <w:szCs w:val="28"/>
          <w:lang w:eastAsia="cs-CZ"/>
        </w:rPr>
        <w:t>80</w:t>
      </w:r>
      <w:r w:rsidR="00D45B49">
        <w:rPr>
          <w:b/>
          <w:sz w:val="28"/>
          <w:szCs w:val="28"/>
          <w:lang w:eastAsia="cs-CZ"/>
        </w:rPr>
        <w:t>5</w:t>
      </w:r>
      <w:r w:rsidR="000E05DA">
        <w:rPr>
          <w:b/>
          <w:sz w:val="28"/>
          <w:szCs w:val="28"/>
          <w:lang w:eastAsia="cs-CZ"/>
        </w:rPr>
        <w:t xml:space="preserve"> </w:t>
      </w:r>
      <w:r w:rsidR="00D45B49">
        <w:rPr>
          <w:b/>
          <w:sz w:val="28"/>
          <w:szCs w:val="28"/>
          <w:lang w:eastAsia="cs-CZ"/>
        </w:rPr>
        <w:t>Hájnica</w:t>
      </w:r>
    </w:p>
    <w:p w14:paraId="6DE8C982" w14:textId="74D3C89D" w:rsidR="00D76319" w:rsidRDefault="00D76319" w:rsidP="000560C8">
      <w:pPr>
        <w:pStyle w:val="Zkladntext"/>
        <w:widowControl w:val="0"/>
        <w:jc w:val="both"/>
        <w:rPr>
          <w:b/>
          <w:lang w:val="sk-SK"/>
        </w:rPr>
      </w:pPr>
      <w:r w:rsidRPr="00D76319">
        <w:rPr>
          <w:b/>
        </w:rPr>
        <w:t>Ciele ochrany</w:t>
      </w:r>
      <w:r w:rsidRPr="00D76319">
        <w:rPr>
          <w:b/>
          <w:lang w:val="sk-SK"/>
        </w:rPr>
        <w:t>:</w:t>
      </w:r>
    </w:p>
    <w:p w14:paraId="6F2D3911" w14:textId="77777777" w:rsidR="00476AF7" w:rsidRDefault="00476AF7" w:rsidP="00476AF7">
      <w:pPr>
        <w:ind w:left="-284"/>
        <w:rPr>
          <w:color w:val="000000"/>
          <w:szCs w:val="24"/>
        </w:rPr>
      </w:pPr>
      <w:r>
        <w:rPr>
          <w:color w:val="000000"/>
          <w:szCs w:val="24"/>
        </w:rPr>
        <w:t xml:space="preserve">Zachovanie stavu biotopu </w:t>
      </w:r>
      <w:r w:rsidRPr="0028246D">
        <w:rPr>
          <w:b/>
          <w:color w:val="000000"/>
          <w:szCs w:val="24"/>
        </w:rPr>
        <w:t>Tr5 (</w:t>
      </w:r>
      <w:r>
        <w:rPr>
          <w:b/>
          <w:color w:val="000000"/>
          <w:szCs w:val="24"/>
        </w:rPr>
        <w:t>40A0*</w:t>
      </w:r>
      <w:r w:rsidRPr="0028246D">
        <w:rPr>
          <w:b/>
          <w:color w:val="000000"/>
          <w:szCs w:val="24"/>
        </w:rPr>
        <w:t xml:space="preserve">) </w:t>
      </w:r>
      <w:r>
        <w:rPr>
          <w:b/>
          <w:color w:val="000000"/>
          <w:szCs w:val="24"/>
        </w:rPr>
        <w:t xml:space="preserve">Xerotermné kroviny </w:t>
      </w:r>
      <w:r>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476AF7" w:rsidRPr="00476F0C" w14:paraId="2D256750" w14:textId="77777777" w:rsidTr="161EEDF7">
        <w:trPr>
          <w:trHeight w:val="705"/>
        </w:trPr>
        <w:tc>
          <w:tcPr>
            <w:tcW w:w="2774" w:type="dxa"/>
            <w:shd w:val="clear" w:color="auto" w:fill="FFFFFF" w:themeFill="background1"/>
            <w:hideMark/>
          </w:tcPr>
          <w:p w14:paraId="34F33B89" w14:textId="77777777" w:rsidR="00476AF7" w:rsidRPr="00476F0C" w:rsidRDefault="00476AF7" w:rsidP="00E0168C">
            <w:pPr>
              <w:rPr>
                <w:rFonts w:eastAsia="Times New Roman"/>
                <w:b/>
                <w:color w:val="000000"/>
                <w:sz w:val="20"/>
                <w:szCs w:val="20"/>
                <w:u w:val="single"/>
              </w:rPr>
            </w:pPr>
            <w:r w:rsidRPr="00476F0C">
              <w:rPr>
                <w:b/>
                <w:color w:val="000000"/>
                <w:sz w:val="20"/>
                <w:szCs w:val="20"/>
              </w:rPr>
              <w:t>Parameter</w:t>
            </w:r>
          </w:p>
        </w:tc>
        <w:tc>
          <w:tcPr>
            <w:tcW w:w="1249" w:type="dxa"/>
            <w:shd w:val="clear" w:color="auto" w:fill="FFFFFF" w:themeFill="background1"/>
            <w:hideMark/>
          </w:tcPr>
          <w:p w14:paraId="723FC212" w14:textId="77777777" w:rsidR="00476AF7" w:rsidRPr="00476F0C" w:rsidRDefault="00476AF7" w:rsidP="00E0168C">
            <w:pPr>
              <w:rPr>
                <w:rFonts w:eastAsia="Times New Roman"/>
                <w:b/>
                <w:color w:val="000000"/>
                <w:sz w:val="20"/>
                <w:szCs w:val="20"/>
                <w:u w:val="single"/>
              </w:rPr>
            </w:pPr>
            <w:r w:rsidRPr="00476F0C">
              <w:rPr>
                <w:b/>
                <w:color w:val="000000"/>
                <w:sz w:val="20"/>
                <w:szCs w:val="20"/>
              </w:rPr>
              <w:t>Merateľnosť</w:t>
            </w:r>
          </w:p>
        </w:tc>
        <w:tc>
          <w:tcPr>
            <w:tcW w:w="1223" w:type="dxa"/>
            <w:shd w:val="clear" w:color="auto" w:fill="FFFFFF" w:themeFill="background1"/>
            <w:hideMark/>
          </w:tcPr>
          <w:p w14:paraId="13051B70" w14:textId="77777777" w:rsidR="00476AF7" w:rsidRPr="00476F0C" w:rsidRDefault="00476AF7" w:rsidP="00E0168C">
            <w:pPr>
              <w:jc w:val="center"/>
              <w:rPr>
                <w:rFonts w:eastAsia="Times New Roman"/>
                <w:b/>
                <w:color w:val="000000"/>
                <w:sz w:val="20"/>
                <w:szCs w:val="20"/>
                <w:u w:val="single"/>
              </w:rPr>
            </w:pPr>
            <w:r w:rsidRPr="00476F0C">
              <w:rPr>
                <w:b/>
                <w:color w:val="000000"/>
                <w:sz w:val="20"/>
                <w:szCs w:val="20"/>
              </w:rPr>
              <w:t>Cieľová hodnota</w:t>
            </w:r>
          </w:p>
        </w:tc>
        <w:tc>
          <w:tcPr>
            <w:tcW w:w="4536" w:type="dxa"/>
            <w:shd w:val="clear" w:color="auto" w:fill="FFFFFF" w:themeFill="background1"/>
            <w:hideMark/>
          </w:tcPr>
          <w:p w14:paraId="45FA4492" w14:textId="77777777" w:rsidR="00476AF7" w:rsidRPr="00476F0C" w:rsidRDefault="00476AF7" w:rsidP="00E0168C">
            <w:pPr>
              <w:rPr>
                <w:rFonts w:eastAsia="Times New Roman"/>
                <w:b/>
                <w:color w:val="000000"/>
                <w:sz w:val="20"/>
                <w:szCs w:val="20"/>
                <w:u w:val="single"/>
              </w:rPr>
            </w:pPr>
            <w:r w:rsidRPr="00476F0C">
              <w:rPr>
                <w:b/>
                <w:color w:val="000000"/>
                <w:sz w:val="20"/>
                <w:szCs w:val="20"/>
              </w:rPr>
              <w:t>Doplnkové informácie</w:t>
            </w:r>
          </w:p>
        </w:tc>
      </w:tr>
      <w:tr w:rsidR="00476AF7" w:rsidRPr="00476F0C" w14:paraId="140671C2" w14:textId="77777777" w:rsidTr="161EEDF7">
        <w:trPr>
          <w:trHeight w:val="290"/>
        </w:trPr>
        <w:tc>
          <w:tcPr>
            <w:tcW w:w="2774" w:type="dxa"/>
            <w:shd w:val="clear" w:color="auto" w:fill="FFFFFF" w:themeFill="background1"/>
            <w:vAlign w:val="bottom"/>
            <w:hideMark/>
          </w:tcPr>
          <w:p w14:paraId="0EF92C7A"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Výmera biotopu</w:t>
            </w:r>
          </w:p>
        </w:tc>
        <w:tc>
          <w:tcPr>
            <w:tcW w:w="1249" w:type="dxa"/>
            <w:shd w:val="clear" w:color="auto" w:fill="FFFFFF" w:themeFill="background1"/>
            <w:vAlign w:val="bottom"/>
            <w:hideMark/>
          </w:tcPr>
          <w:p w14:paraId="082BF195"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 xml:space="preserve">ha </w:t>
            </w:r>
          </w:p>
        </w:tc>
        <w:tc>
          <w:tcPr>
            <w:tcW w:w="1223" w:type="dxa"/>
            <w:shd w:val="clear" w:color="auto" w:fill="FFFFFF" w:themeFill="background1"/>
            <w:vAlign w:val="bottom"/>
          </w:tcPr>
          <w:p w14:paraId="18DF8985" w14:textId="49932FF5" w:rsidR="00476AF7" w:rsidRPr="00476F0C" w:rsidRDefault="00476AF7" w:rsidP="00476AF7">
            <w:pPr>
              <w:jc w:val="center"/>
              <w:rPr>
                <w:rFonts w:eastAsia="Times New Roman"/>
                <w:color w:val="000000"/>
                <w:sz w:val="20"/>
                <w:szCs w:val="20"/>
              </w:rPr>
            </w:pPr>
            <w:r>
              <w:rPr>
                <w:rFonts w:eastAsia="Times New Roman"/>
                <w:color w:val="000000"/>
                <w:sz w:val="20"/>
                <w:szCs w:val="20"/>
              </w:rPr>
              <w:t>2,29</w:t>
            </w:r>
          </w:p>
        </w:tc>
        <w:tc>
          <w:tcPr>
            <w:tcW w:w="4536" w:type="dxa"/>
            <w:shd w:val="clear" w:color="auto" w:fill="FFFFFF" w:themeFill="background1"/>
            <w:vAlign w:val="bottom"/>
            <w:hideMark/>
          </w:tcPr>
          <w:p w14:paraId="52AB631F"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Udržanie súč</w:t>
            </w:r>
            <w:r>
              <w:rPr>
                <w:rFonts w:eastAsia="Times New Roman"/>
                <w:color w:val="000000"/>
                <w:sz w:val="20"/>
                <w:szCs w:val="20"/>
              </w:rPr>
              <w:t>asnej výmery biotopu</w:t>
            </w:r>
          </w:p>
        </w:tc>
      </w:tr>
      <w:tr w:rsidR="00476AF7" w:rsidRPr="00476F0C" w14:paraId="1E98FA3F" w14:textId="77777777" w:rsidTr="161EEDF7">
        <w:trPr>
          <w:trHeight w:val="699"/>
        </w:trPr>
        <w:tc>
          <w:tcPr>
            <w:tcW w:w="2774" w:type="dxa"/>
            <w:shd w:val="clear" w:color="auto" w:fill="FFFFFF" w:themeFill="background1"/>
            <w:vAlign w:val="bottom"/>
            <w:hideMark/>
          </w:tcPr>
          <w:p w14:paraId="5646DC9E" w14:textId="61789025" w:rsidR="00476AF7" w:rsidRPr="00476F0C" w:rsidRDefault="00476AF7" w:rsidP="00E0168C">
            <w:pPr>
              <w:rPr>
                <w:rFonts w:eastAsia="Times New Roman"/>
                <w:color w:val="000000"/>
                <w:sz w:val="20"/>
                <w:szCs w:val="20"/>
              </w:rPr>
            </w:pPr>
            <w:r w:rsidRPr="0A68C567">
              <w:rPr>
                <w:rFonts w:eastAsia="Times New Roman"/>
                <w:color w:val="000000" w:themeColor="text1"/>
                <w:sz w:val="20"/>
                <w:szCs w:val="20"/>
              </w:rPr>
              <w:t>Zastúpenie charakteristických druho</w:t>
            </w:r>
            <w:r w:rsidR="43602ADD" w:rsidRPr="0A68C567">
              <w:rPr>
                <w:rFonts w:eastAsia="Times New Roman"/>
                <w:color w:val="000000" w:themeColor="text1"/>
                <w:sz w:val="20"/>
                <w:szCs w:val="20"/>
              </w:rPr>
              <w:t>v</w:t>
            </w:r>
          </w:p>
        </w:tc>
        <w:tc>
          <w:tcPr>
            <w:tcW w:w="1249" w:type="dxa"/>
            <w:shd w:val="clear" w:color="auto" w:fill="FFFFFF" w:themeFill="background1"/>
            <w:vAlign w:val="bottom"/>
            <w:hideMark/>
          </w:tcPr>
          <w:p w14:paraId="778A7BA0"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počet druhov/16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16B5AE5A" w14:textId="77777777" w:rsidR="00476AF7" w:rsidRPr="00476F0C" w:rsidRDefault="00476AF7" w:rsidP="00E0168C">
            <w:pPr>
              <w:jc w:val="center"/>
              <w:rPr>
                <w:rFonts w:eastAsia="Times New Roman"/>
                <w:color w:val="000000"/>
                <w:sz w:val="20"/>
                <w:szCs w:val="20"/>
              </w:rPr>
            </w:pPr>
            <w:r w:rsidRPr="00476F0C">
              <w:rPr>
                <w:rFonts w:eastAsia="Times New Roman"/>
                <w:color w:val="000000"/>
                <w:sz w:val="20"/>
                <w:szCs w:val="20"/>
              </w:rPr>
              <w:t>najmenej 5 druhov</w:t>
            </w:r>
          </w:p>
        </w:tc>
        <w:tc>
          <w:tcPr>
            <w:tcW w:w="4536" w:type="dxa"/>
            <w:shd w:val="clear" w:color="auto" w:fill="FFFFFF" w:themeFill="background1"/>
            <w:vAlign w:val="bottom"/>
            <w:hideMark/>
          </w:tcPr>
          <w:p w14:paraId="52EE64AC" w14:textId="6499C630" w:rsidR="00476AF7" w:rsidRPr="00476F0C" w:rsidRDefault="161EEDF7" w:rsidP="00D863D7">
            <w:pPr>
              <w:rPr>
                <w:rFonts w:eastAsia="Times New Roman"/>
                <w:color w:val="000000"/>
                <w:sz w:val="20"/>
                <w:szCs w:val="20"/>
              </w:rPr>
            </w:pPr>
            <w:r w:rsidRPr="161EEDF7">
              <w:rPr>
                <w:rFonts w:eastAsia="Times New Roman"/>
                <w:color w:val="000000" w:themeColor="text1"/>
                <w:sz w:val="20"/>
                <w:szCs w:val="20"/>
              </w:rPr>
              <w:t xml:space="preserve">Charakteristické/typické druhové zloženie: </w:t>
            </w:r>
            <w:r w:rsidRPr="161EEDF7">
              <w:rPr>
                <w:rFonts w:eastAsia="Times New Roman"/>
                <w:i/>
                <w:iCs/>
                <w:color w:val="000000" w:themeColor="text1"/>
                <w:sz w:val="20"/>
                <w:szCs w:val="20"/>
              </w:rPr>
              <w:t xml:space="preserve">  Cerasus fruticosa, Cornus mas, Crataegus monogyna, Euonymus verrucosus, Fraxinus ornus, Geranium sanguineum, Inula ensifolia, Laser trilobum, Prunus spinosa, Quercus pubescens, Rosa galica, Rosa pimpinellifolia, Staphylea pinnata, Teucrium chamaedrys, Viccia tenuifolia, Vincetoxicum hirundinaria</w:t>
            </w:r>
          </w:p>
        </w:tc>
      </w:tr>
      <w:tr w:rsidR="00476AF7" w:rsidRPr="00476F0C" w14:paraId="7F5BBF73" w14:textId="77777777" w:rsidTr="161EEDF7">
        <w:trPr>
          <w:trHeight w:val="290"/>
        </w:trPr>
        <w:tc>
          <w:tcPr>
            <w:tcW w:w="2774" w:type="dxa"/>
            <w:shd w:val="clear" w:color="auto" w:fill="FFFFFF" w:themeFill="background1"/>
            <w:vAlign w:val="bottom"/>
            <w:hideMark/>
          </w:tcPr>
          <w:p w14:paraId="6DC4FB9B"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Vertikálna štruktúra biotopu</w:t>
            </w:r>
          </w:p>
        </w:tc>
        <w:tc>
          <w:tcPr>
            <w:tcW w:w="1249" w:type="dxa"/>
            <w:shd w:val="clear" w:color="auto" w:fill="FFFFFF" w:themeFill="background1"/>
            <w:vAlign w:val="bottom"/>
            <w:hideMark/>
          </w:tcPr>
          <w:p w14:paraId="38F55668"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percento pokrytia krovín a drevín /plocha biotopu</w:t>
            </w:r>
          </w:p>
        </w:tc>
        <w:tc>
          <w:tcPr>
            <w:tcW w:w="1223" w:type="dxa"/>
            <w:shd w:val="clear" w:color="auto" w:fill="FFFFFF" w:themeFill="background1"/>
            <w:vAlign w:val="bottom"/>
            <w:hideMark/>
          </w:tcPr>
          <w:p w14:paraId="3700993E" w14:textId="77777777" w:rsidR="00476AF7" w:rsidRPr="00476F0C" w:rsidRDefault="00476AF7" w:rsidP="00E0168C">
            <w:pPr>
              <w:jc w:val="center"/>
              <w:rPr>
                <w:rFonts w:eastAsia="Times New Roman"/>
                <w:color w:val="000000"/>
                <w:sz w:val="20"/>
                <w:szCs w:val="20"/>
              </w:rPr>
            </w:pPr>
            <w:r w:rsidRPr="00476F0C">
              <w:rPr>
                <w:rFonts w:eastAsia="Times New Roman"/>
                <w:color w:val="000000"/>
                <w:sz w:val="20"/>
                <w:szCs w:val="20"/>
              </w:rPr>
              <w:t>viac ako 50 % krovín, menej ako 20 % drevín</w:t>
            </w:r>
          </w:p>
        </w:tc>
        <w:tc>
          <w:tcPr>
            <w:tcW w:w="4536" w:type="dxa"/>
            <w:shd w:val="clear" w:color="auto" w:fill="FFFFFF" w:themeFill="background1"/>
            <w:vAlign w:val="bottom"/>
            <w:hideMark/>
          </w:tcPr>
          <w:p w14:paraId="2D03A19D"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Udržané zastúpenie teplomilných drevín a krovín na výmere väčšej ako polovica z výmery biotopu, výmera drevín v stromovej etáži minimálna.</w:t>
            </w:r>
          </w:p>
        </w:tc>
      </w:tr>
      <w:tr w:rsidR="00476AF7" w:rsidRPr="00476F0C" w14:paraId="06B12B42" w14:textId="77777777" w:rsidTr="161EEDF7">
        <w:trPr>
          <w:trHeight w:val="850"/>
        </w:trPr>
        <w:tc>
          <w:tcPr>
            <w:tcW w:w="2774" w:type="dxa"/>
            <w:shd w:val="clear" w:color="auto" w:fill="FFFFFF" w:themeFill="background1"/>
            <w:vAlign w:val="bottom"/>
            <w:hideMark/>
          </w:tcPr>
          <w:p w14:paraId="7DCCA08D"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Zastúpenie alochtónnych/inváznych/invázne sa správajúcich druhov</w:t>
            </w:r>
          </w:p>
        </w:tc>
        <w:tc>
          <w:tcPr>
            <w:tcW w:w="1249" w:type="dxa"/>
            <w:shd w:val="clear" w:color="auto" w:fill="FFFFFF" w:themeFill="background1"/>
            <w:vAlign w:val="bottom"/>
            <w:hideMark/>
          </w:tcPr>
          <w:p w14:paraId="2E383224"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percento pokrytia/25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3CE85EBA" w14:textId="77777777" w:rsidR="00476AF7" w:rsidRPr="00476F0C" w:rsidRDefault="00476AF7" w:rsidP="00E0168C">
            <w:pPr>
              <w:jc w:val="center"/>
              <w:rPr>
                <w:rFonts w:eastAsia="Times New Roman"/>
                <w:color w:val="000000"/>
                <w:sz w:val="20"/>
                <w:szCs w:val="20"/>
              </w:rPr>
            </w:pPr>
            <w:r w:rsidRPr="00476F0C">
              <w:rPr>
                <w:rFonts w:eastAsia="Times New Roman"/>
                <w:color w:val="000000"/>
                <w:sz w:val="20"/>
                <w:szCs w:val="20"/>
              </w:rPr>
              <w:t>menej ako 1 %</w:t>
            </w:r>
          </w:p>
        </w:tc>
        <w:tc>
          <w:tcPr>
            <w:tcW w:w="4536" w:type="dxa"/>
            <w:shd w:val="clear" w:color="auto" w:fill="FFFFFF" w:themeFill="background1"/>
            <w:vAlign w:val="bottom"/>
            <w:hideMark/>
          </w:tcPr>
          <w:p w14:paraId="3986E2A2" w14:textId="77777777" w:rsidR="00476AF7" w:rsidRPr="00476F0C" w:rsidRDefault="00476AF7" w:rsidP="00E0168C">
            <w:pPr>
              <w:rPr>
                <w:rFonts w:eastAsia="Times New Roman"/>
                <w:color w:val="000000"/>
                <w:sz w:val="20"/>
                <w:szCs w:val="20"/>
              </w:rPr>
            </w:pPr>
            <w:r w:rsidRPr="00476F0C">
              <w:rPr>
                <w:rFonts w:eastAsia="Times New Roman"/>
                <w:color w:val="000000"/>
                <w:sz w:val="20"/>
                <w:szCs w:val="20"/>
              </w:rPr>
              <w:t>Minimálne zastúpenie expanzívnych druhov</w:t>
            </w:r>
            <w:r w:rsidRPr="00476F0C">
              <w:rPr>
                <w:rFonts w:eastAsia="Times New Roman"/>
                <w:i/>
                <w:color w:val="000000"/>
                <w:sz w:val="20"/>
                <w:szCs w:val="20"/>
              </w:rPr>
              <w:t xml:space="preserve"> Arrhenatherum elatius, Calamagrostis epigejos, </w:t>
            </w:r>
            <w:r w:rsidRPr="00476F0C">
              <w:rPr>
                <w:rFonts w:eastAsia="Times New Roman"/>
                <w:color w:val="000000"/>
                <w:sz w:val="20"/>
                <w:szCs w:val="20"/>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0B203F68" w14:textId="77777777" w:rsidR="00476AF7" w:rsidRDefault="00476AF7" w:rsidP="00D45B49">
      <w:pPr>
        <w:pStyle w:val="Zkladntext"/>
        <w:widowControl w:val="0"/>
        <w:jc w:val="both"/>
        <w:rPr>
          <w:lang w:val="sk-SK"/>
        </w:rPr>
      </w:pPr>
    </w:p>
    <w:p w14:paraId="33749F78" w14:textId="6AAD0831" w:rsidR="00D45B49" w:rsidRPr="00911FBF" w:rsidRDefault="00D45B49" w:rsidP="00D45B49">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D45B49" w:rsidRPr="00B6615B" w14:paraId="6B0D2D00"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1C169178" w14:textId="77777777" w:rsidR="00D45B49" w:rsidRPr="00B6615B" w:rsidRDefault="00D45B49" w:rsidP="00E0168C">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8D75806" w14:textId="77777777" w:rsidR="00D45B49" w:rsidRPr="00B6615B" w:rsidRDefault="00D45B49"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6858B731" w14:textId="77777777" w:rsidR="00D45B49" w:rsidRPr="00B6615B" w:rsidRDefault="00D45B49" w:rsidP="00E0168C">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E78CAEA" w14:textId="77777777" w:rsidR="00D45B49" w:rsidRPr="00B6615B" w:rsidRDefault="00D45B49" w:rsidP="00E0168C">
            <w:pPr>
              <w:jc w:val="center"/>
              <w:rPr>
                <w:rFonts w:eastAsia="Times New Roman"/>
                <w:sz w:val="20"/>
                <w:szCs w:val="20"/>
              </w:rPr>
            </w:pPr>
            <w:r w:rsidRPr="00B6615B">
              <w:rPr>
                <w:b/>
                <w:sz w:val="20"/>
                <w:szCs w:val="20"/>
              </w:rPr>
              <w:t>Doplnkové informácie</w:t>
            </w:r>
          </w:p>
        </w:tc>
      </w:tr>
      <w:tr w:rsidR="00D45B49" w:rsidRPr="00B6615B" w14:paraId="51671CC1"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44977" w14:textId="77777777" w:rsidR="00D45B49" w:rsidRPr="00B6615B" w:rsidRDefault="00D45B49" w:rsidP="00E0168C">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5034CCC" w14:textId="77777777" w:rsidR="00D45B49" w:rsidRPr="00B6615B" w:rsidRDefault="00D45B49" w:rsidP="00E0168C">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AA5FD9B" w14:textId="426C4788" w:rsidR="00D45B49" w:rsidRPr="00B6615B" w:rsidRDefault="00D45B49" w:rsidP="00E0168C">
            <w:pPr>
              <w:rPr>
                <w:rFonts w:eastAsia="Times New Roman"/>
                <w:sz w:val="20"/>
                <w:szCs w:val="20"/>
              </w:rPr>
            </w:pPr>
            <w:r>
              <w:rPr>
                <w:rFonts w:eastAsia="Times New Roman"/>
                <w:sz w:val="20"/>
                <w:szCs w:val="20"/>
              </w:rPr>
              <w:t>3,6 ha</w:t>
            </w:r>
          </w:p>
        </w:tc>
        <w:tc>
          <w:tcPr>
            <w:tcW w:w="5201" w:type="dxa"/>
            <w:tcBorders>
              <w:top w:val="single" w:sz="4" w:space="0" w:color="00000A"/>
              <w:bottom w:val="single" w:sz="4" w:space="0" w:color="00000A"/>
              <w:right w:val="single" w:sz="4" w:space="0" w:color="00000A"/>
            </w:tcBorders>
            <w:shd w:val="clear" w:color="auto" w:fill="auto"/>
            <w:vAlign w:val="center"/>
          </w:tcPr>
          <w:p w14:paraId="2CFF18CC" w14:textId="77777777" w:rsidR="00D45B49" w:rsidRPr="00B6615B" w:rsidRDefault="00D45B49" w:rsidP="00E0168C">
            <w:pPr>
              <w:jc w:val="center"/>
              <w:rPr>
                <w:rFonts w:eastAsia="Times New Roman"/>
                <w:sz w:val="20"/>
                <w:szCs w:val="20"/>
              </w:rPr>
            </w:pPr>
            <w:r w:rsidRPr="00B6615B">
              <w:rPr>
                <w:rFonts w:eastAsia="Times New Roman"/>
                <w:sz w:val="20"/>
                <w:szCs w:val="20"/>
              </w:rPr>
              <w:t>Udržať výmeru biotopu</w:t>
            </w:r>
          </w:p>
        </w:tc>
      </w:tr>
      <w:tr w:rsidR="00D45B49" w:rsidRPr="00B6615B" w14:paraId="625603D7" w14:textId="77777777" w:rsidTr="00E0168C">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7BC6FF5C"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1C3F782A" w14:textId="77777777" w:rsidR="00D45B49" w:rsidRPr="00B6615B" w:rsidRDefault="00D45B49"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49F1B3F5" w14:textId="77777777" w:rsidR="00D45B49" w:rsidRPr="00B6615B" w:rsidRDefault="00D45B49" w:rsidP="00E0168C">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58918988" w14:textId="77777777" w:rsidR="00D45B49" w:rsidRPr="00B6615B" w:rsidRDefault="00D45B49" w:rsidP="00E0168C">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w:t>
            </w:r>
            <w:r w:rsidRPr="00B6615B">
              <w:rPr>
                <w:rFonts w:eastAsia="Times New Roman"/>
                <w:i/>
                <w:sz w:val="20"/>
                <w:szCs w:val="20"/>
              </w:rPr>
              <w:lastRenderedPageBreak/>
              <w:t>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14:paraId="4C26FED6" w14:textId="77777777" w:rsidTr="00E0168C">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8DE3C5B" w14:textId="77777777" w:rsidR="00D45B49" w:rsidRPr="00B6615B" w:rsidRDefault="00D45B49" w:rsidP="00E0168C">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20BE1C18"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8487E90" w14:textId="77777777" w:rsidR="00D45B49" w:rsidRPr="00B6615B" w:rsidRDefault="00D45B49" w:rsidP="00E0168C">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502C3CD8" w14:textId="77777777" w:rsidR="00D45B49" w:rsidRPr="00B6615B" w:rsidRDefault="00D45B49" w:rsidP="00E0168C">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14:paraId="5C2DE1F8" w14:textId="77777777" w:rsidTr="00E0168C">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0F0B45D1"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3E820FE2"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1EA82A58" w14:textId="77777777" w:rsidR="00D45B49" w:rsidRPr="00B6615B" w:rsidRDefault="00D45B49" w:rsidP="00E0168C">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46D3242" w14:textId="77777777" w:rsidR="00D45B49" w:rsidRPr="00B6615B" w:rsidRDefault="00D45B49"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6742D8AF" w14:textId="77777777" w:rsidR="00D45B49" w:rsidRDefault="00D45B49" w:rsidP="00D45B49">
      <w:pPr>
        <w:pStyle w:val="Zkladntext"/>
        <w:widowControl w:val="0"/>
        <w:ind w:left="360"/>
        <w:jc w:val="both"/>
        <w:rPr>
          <w:lang w:val="sk-SK"/>
        </w:rPr>
      </w:pPr>
    </w:p>
    <w:p w14:paraId="53AF56DE" w14:textId="7F054A9C" w:rsidR="000E05DA" w:rsidRPr="00626A09" w:rsidRDefault="00D45B49" w:rsidP="0060488B">
      <w:pPr>
        <w:pStyle w:val="Zkladntext"/>
        <w:widowControl w:val="0"/>
        <w:jc w:val="both"/>
      </w:pPr>
      <w:r>
        <w:rPr>
          <w:lang w:val="sk-SK"/>
        </w:rPr>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23D9494A" w:rsidR="000E05DA" w:rsidRPr="003509FA" w:rsidRDefault="00D45B49" w:rsidP="002B021B">
            <w:pPr>
              <w:spacing w:after="0" w:line="240" w:lineRule="auto"/>
              <w:jc w:val="center"/>
              <w:rPr>
                <w:rFonts w:eastAsia="Times New Roman"/>
                <w:sz w:val="18"/>
                <w:szCs w:val="18"/>
              </w:rPr>
            </w:pPr>
            <w:r>
              <w:rPr>
                <w:rFonts w:eastAsia="Times New Roman"/>
                <w:sz w:val="18"/>
                <w:szCs w:val="18"/>
              </w:rPr>
              <w:t>10,</w:t>
            </w:r>
            <w:r w:rsidR="00DA19FF">
              <w:rPr>
                <w:rFonts w:eastAsia="Times New Roman"/>
                <w:sz w:val="18"/>
                <w:szCs w:val="18"/>
              </w:rPr>
              <w:t>8</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207C3BDD" w:rsidR="000E05DA" w:rsidRPr="003509FA" w:rsidRDefault="00D863D7"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D863D7"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D863D7" w:rsidRPr="003509FA" w:rsidRDefault="00D863D7" w:rsidP="00D863D7">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D863D7" w:rsidRPr="003509FA" w:rsidRDefault="00D863D7" w:rsidP="00D863D7">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D863D7" w:rsidRPr="003509FA" w:rsidRDefault="00D863D7" w:rsidP="00D863D7">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07F8C4C3" w:rsidR="00D863D7" w:rsidRPr="003509FA" w:rsidRDefault="00D863D7" w:rsidP="00D863D7">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61A1FD02" w:rsidR="000E05DA" w:rsidRDefault="000E05DA" w:rsidP="000E05DA">
      <w:pPr>
        <w:spacing w:line="240" w:lineRule="auto"/>
        <w:ind w:left="360"/>
        <w:jc w:val="both"/>
      </w:pPr>
    </w:p>
    <w:p w14:paraId="57CF2734" w14:textId="77777777" w:rsidR="00D863D7" w:rsidRDefault="00D863D7" w:rsidP="00DA19FF">
      <w:pPr>
        <w:spacing w:line="240" w:lineRule="auto"/>
        <w:ind w:left="-284"/>
        <w:rPr>
          <w:color w:val="000000"/>
          <w:szCs w:val="24"/>
        </w:rPr>
      </w:pPr>
    </w:p>
    <w:p w14:paraId="667A545A" w14:textId="6DA115D3" w:rsidR="00DA19FF" w:rsidRDefault="00DA19FF" w:rsidP="00DA19FF">
      <w:pPr>
        <w:spacing w:line="240" w:lineRule="auto"/>
        <w:ind w:left="-284"/>
        <w:rPr>
          <w:color w:val="000000"/>
          <w:szCs w:val="24"/>
        </w:rPr>
      </w:pPr>
      <w:r>
        <w:rPr>
          <w:color w:val="000000"/>
          <w:szCs w:val="24"/>
        </w:rPr>
        <w:t xml:space="preserve">Zachovanie stavu biotopu </w:t>
      </w:r>
      <w:r>
        <w:rPr>
          <w:b/>
          <w:color w:val="000000"/>
          <w:szCs w:val="24"/>
        </w:rPr>
        <w:t>Pi5 (611</w:t>
      </w:r>
      <w:r w:rsidRPr="007657C5">
        <w:rPr>
          <w:b/>
          <w:color w:val="000000"/>
          <w:szCs w:val="24"/>
        </w:rPr>
        <w:t>0</w:t>
      </w:r>
      <w:r>
        <w:rPr>
          <w:b/>
          <w:color w:val="000000"/>
          <w:szCs w:val="24"/>
        </w:rPr>
        <w:t>*</w:t>
      </w:r>
      <w:r w:rsidRPr="007657C5">
        <w:rPr>
          <w:b/>
          <w:color w:val="000000"/>
          <w:szCs w:val="24"/>
        </w:rPr>
        <w:t xml:space="preserve">) </w:t>
      </w:r>
      <w:r>
        <w:rPr>
          <w:b/>
          <w:color w:val="000000"/>
          <w:szCs w:val="24"/>
        </w:rPr>
        <w:t xml:space="preserve">Pionierske porasty na plytkých karbonátových a bázických substrátoch zväzu </w:t>
      </w:r>
      <w:r>
        <w:rPr>
          <w:b/>
          <w:i/>
          <w:color w:val="000000"/>
          <w:szCs w:val="24"/>
        </w:rPr>
        <w:t xml:space="preserve">Alysso-Sedion albi </w:t>
      </w:r>
      <w:r>
        <w:rPr>
          <w:color w:val="000000"/>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3"/>
      </w:tblGrid>
      <w:tr w:rsidR="00DA19FF" w:rsidRPr="00C92F0B" w14:paraId="1B43EDF8" w14:textId="77777777" w:rsidTr="161EEDF7">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537472AB" w14:textId="77777777" w:rsidR="00DA19FF" w:rsidRPr="00C92F0B" w:rsidRDefault="00DA19FF" w:rsidP="00E0168C">
            <w:pPr>
              <w:spacing w:line="240" w:lineRule="auto"/>
              <w:rPr>
                <w:rFonts w:eastAsia="Times New Roman"/>
                <w:b/>
                <w:color w:val="000000"/>
                <w:sz w:val="20"/>
                <w:szCs w:val="20"/>
              </w:rPr>
            </w:pPr>
            <w:r w:rsidRPr="00C92F0B">
              <w:rPr>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55FDD84" w14:textId="77777777" w:rsidR="00DA19FF" w:rsidRPr="00C92F0B" w:rsidRDefault="00DA19FF" w:rsidP="00E0168C">
            <w:pPr>
              <w:spacing w:line="240" w:lineRule="auto"/>
              <w:rPr>
                <w:rFonts w:eastAsia="Times New Roman"/>
                <w:b/>
                <w:color w:val="000000"/>
                <w:sz w:val="20"/>
                <w:szCs w:val="20"/>
              </w:rPr>
            </w:pPr>
            <w:r w:rsidRPr="00C92F0B">
              <w:rPr>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39C1F129" w14:textId="77777777" w:rsidR="00DA19FF" w:rsidRPr="00C92F0B" w:rsidRDefault="00DA19FF" w:rsidP="00E0168C">
            <w:pPr>
              <w:spacing w:line="240" w:lineRule="auto"/>
              <w:jc w:val="center"/>
              <w:rPr>
                <w:rFonts w:eastAsia="Times New Roman"/>
                <w:b/>
                <w:color w:val="000000"/>
                <w:sz w:val="20"/>
                <w:szCs w:val="20"/>
              </w:rPr>
            </w:pPr>
            <w:r w:rsidRPr="00C92F0B">
              <w:rPr>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604D946C" w14:textId="77777777" w:rsidR="00DA19FF" w:rsidRPr="00C92F0B" w:rsidRDefault="00DA19FF" w:rsidP="00E0168C">
            <w:pPr>
              <w:spacing w:line="240" w:lineRule="auto"/>
              <w:rPr>
                <w:rFonts w:eastAsia="Times New Roman"/>
                <w:b/>
                <w:color w:val="000000"/>
                <w:sz w:val="20"/>
                <w:szCs w:val="20"/>
              </w:rPr>
            </w:pPr>
            <w:r w:rsidRPr="00C92F0B">
              <w:rPr>
                <w:b/>
                <w:color w:val="000000"/>
                <w:sz w:val="20"/>
                <w:szCs w:val="20"/>
              </w:rPr>
              <w:t>Poznámky/Doplňujúce informácie</w:t>
            </w:r>
          </w:p>
        </w:tc>
      </w:tr>
      <w:tr w:rsidR="00DA19FF" w:rsidRPr="00C92F0B" w14:paraId="43017F86" w14:textId="77777777" w:rsidTr="161EEDF7">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0ACE" w14:textId="77777777" w:rsidR="00DA19FF" w:rsidRPr="00C92F0B" w:rsidRDefault="00DA19FF" w:rsidP="00E0168C">
            <w:pPr>
              <w:spacing w:line="240" w:lineRule="auto"/>
              <w:rPr>
                <w:rFonts w:eastAsia="Times New Roman"/>
                <w:color w:val="000000"/>
                <w:sz w:val="20"/>
                <w:szCs w:val="20"/>
              </w:rPr>
            </w:pPr>
            <w:r w:rsidRPr="00C92F0B">
              <w:rPr>
                <w:rFonts w:eastAsia="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7642DCB" w14:textId="77777777" w:rsidR="00DA19FF" w:rsidRPr="00C92F0B" w:rsidRDefault="00DA19FF" w:rsidP="00E0168C">
            <w:pPr>
              <w:spacing w:line="240" w:lineRule="auto"/>
              <w:rPr>
                <w:rFonts w:eastAsia="Times New Roman"/>
                <w:color w:val="000000"/>
                <w:sz w:val="20"/>
                <w:szCs w:val="20"/>
              </w:rPr>
            </w:pPr>
            <w:r w:rsidRPr="00C92F0B">
              <w:rPr>
                <w:rFonts w:eastAsia="Times New Roman"/>
                <w:color w:val="000000"/>
                <w:sz w:val="20"/>
                <w:szCs w:val="20"/>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93D9DFC" w14:textId="43806ADC" w:rsidR="00DA19FF" w:rsidRPr="00C92F0B" w:rsidRDefault="00DA19FF" w:rsidP="00E0168C">
            <w:pPr>
              <w:spacing w:line="240" w:lineRule="auto"/>
              <w:jc w:val="center"/>
              <w:rPr>
                <w:rFonts w:eastAsia="Times New Roman"/>
                <w:color w:val="000000"/>
                <w:sz w:val="20"/>
                <w:szCs w:val="20"/>
              </w:rPr>
            </w:pPr>
            <w:r>
              <w:rPr>
                <w:rFonts w:eastAsia="Times New Roman"/>
                <w:color w:val="000000"/>
                <w:sz w:val="20"/>
                <w:szCs w:val="20"/>
              </w:rPr>
              <w:t>0,</w:t>
            </w:r>
            <w:r w:rsidR="00D45B49">
              <w:rPr>
                <w:rFonts w:eastAsia="Times New Roman"/>
                <w:color w:val="000000"/>
                <w:sz w:val="20"/>
                <w:szCs w:val="20"/>
              </w:rPr>
              <w:t>06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BE2B332" w14:textId="77777777" w:rsidR="00DA19FF" w:rsidRPr="00C92F0B" w:rsidRDefault="00DA19FF" w:rsidP="00E0168C">
            <w:pPr>
              <w:spacing w:line="240" w:lineRule="auto"/>
              <w:rPr>
                <w:rFonts w:eastAsia="Times New Roman"/>
                <w:color w:val="000000"/>
                <w:sz w:val="20"/>
                <w:szCs w:val="20"/>
              </w:rPr>
            </w:pPr>
            <w:r>
              <w:rPr>
                <w:rFonts w:eastAsia="Times New Roman"/>
                <w:color w:val="000000"/>
                <w:sz w:val="20"/>
                <w:szCs w:val="20"/>
              </w:rPr>
              <w:t xml:space="preserve">Zachovať súčasnú </w:t>
            </w:r>
            <w:r w:rsidRPr="00C92F0B">
              <w:rPr>
                <w:rFonts w:eastAsia="Times New Roman"/>
                <w:color w:val="000000"/>
                <w:sz w:val="20"/>
                <w:szCs w:val="20"/>
              </w:rPr>
              <w:t>výmeru biotopu</w:t>
            </w:r>
          </w:p>
        </w:tc>
      </w:tr>
      <w:tr w:rsidR="00DA19FF" w:rsidRPr="00C92F0B" w14:paraId="7F11E9B1" w14:textId="77777777" w:rsidTr="161EEDF7">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B8602FC"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4F2D4614"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16E64084" w14:textId="77777777" w:rsidR="00DA19FF" w:rsidRPr="00C92F0B" w:rsidRDefault="00DA19FF" w:rsidP="00E0168C">
            <w:pPr>
              <w:spacing w:line="240" w:lineRule="auto"/>
              <w:jc w:val="center"/>
              <w:rPr>
                <w:rFonts w:eastAsia="Times New Roman"/>
                <w:color w:val="000000"/>
                <w:sz w:val="20"/>
                <w:szCs w:val="20"/>
              </w:rPr>
            </w:pPr>
            <w:r w:rsidRPr="00C92F0B">
              <w:rPr>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A45B3DD" w14:textId="7C1753F2" w:rsidR="00DA19FF" w:rsidRPr="00C92F0B" w:rsidRDefault="161EEDF7" w:rsidP="00D863D7">
            <w:pPr>
              <w:spacing w:line="240" w:lineRule="auto"/>
              <w:rPr>
                <w:rFonts w:eastAsia="Times New Roman"/>
                <w:color w:val="000000"/>
                <w:sz w:val="20"/>
                <w:szCs w:val="20"/>
              </w:rPr>
            </w:pPr>
            <w:r w:rsidRPr="161EEDF7">
              <w:rPr>
                <w:color w:val="000000" w:themeColor="text1"/>
                <w:sz w:val="20"/>
                <w:szCs w:val="20"/>
              </w:rPr>
              <w:t>Charakteristické/typické druhové zloženie: Acinos arvensis, Allium flavum, Allium senescens, Alyssum alyssoides, Arenaria serpyllifolia, Cerastium pumilum, Erophila verna, Festuca pallens, Medicago minima, Poa bulbosa, Potentilla arenaria, Racomitrum canescens,  Saxifraga tridactylites, Sedum acre, Sedum album, Sedum sexangulare, Teucryum chamaedris, Thlaspi prefoliatum, Valerianella dentata, Valerianella locusta, Veronica arvensis, Veronica praecox</w:t>
            </w:r>
          </w:p>
        </w:tc>
      </w:tr>
      <w:tr w:rsidR="00DA19FF" w:rsidRPr="00C92F0B" w14:paraId="4C28506D" w14:textId="77777777" w:rsidTr="161EEDF7">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D3F2548"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2A863045"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78F69D4E" w14:textId="77777777" w:rsidR="00DA19FF" w:rsidRPr="00C92F0B" w:rsidRDefault="00DA19FF" w:rsidP="00E0168C">
            <w:pPr>
              <w:spacing w:line="240" w:lineRule="auto"/>
              <w:jc w:val="center"/>
              <w:rPr>
                <w:rFonts w:eastAsia="Times New Roman"/>
                <w:color w:val="000000"/>
                <w:sz w:val="20"/>
                <w:szCs w:val="20"/>
              </w:rPr>
            </w:pPr>
            <w:r w:rsidRPr="00C92F0B">
              <w:rPr>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27FDBC2A"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Bylinná etáž zapojená približne na 15%, krovinová  a drevinová etáž zapojená max. na 15%.</w:t>
            </w:r>
          </w:p>
        </w:tc>
      </w:tr>
      <w:tr w:rsidR="00DA19FF" w:rsidRPr="00C92F0B" w14:paraId="7BAF11F0" w14:textId="77777777" w:rsidTr="161EEDF7">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41A25624"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BCF762D"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30F560AF" w14:textId="77777777" w:rsidR="00DA19FF" w:rsidRPr="00C92F0B" w:rsidRDefault="00DA19FF" w:rsidP="00E0168C">
            <w:pPr>
              <w:spacing w:line="240" w:lineRule="auto"/>
              <w:jc w:val="center"/>
              <w:rPr>
                <w:rFonts w:eastAsia="Times New Roman"/>
                <w:color w:val="000000"/>
                <w:sz w:val="20"/>
                <w:szCs w:val="20"/>
              </w:rPr>
            </w:pPr>
            <w:r w:rsidRPr="00C92F0B">
              <w:rPr>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508AE63A" w14:textId="77777777" w:rsidR="00DA19FF" w:rsidRPr="00C92F0B" w:rsidRDefault="00DA19FF" w:rsidP="00E0168C">
            <w:pPr>
              <w:spacing w:line="240" w:lineRule="auto"/>
              <w:rPr>
                <w:rFonts w:eastAsia="Times New Roman"/>
                <w:color w:val="000000"/>
                <w:sz w:val="20"/>
                <w:szCs w:val="20"/>
              </w:rPr>
            </w:pPr>
            <w:r w:rsidRPr="00C92F0B">
              <w:rPr>
                <w:color w:val="000000"/>
                <w:sz w:val="20"/>
                <w:szCs w:val="20"/>
              </w:rPr>
              <w:t>Eliminovať zastúpenie drevín a krovín</w:t>
            </w:r>
          </w:p>
        </w:tc>
      </w:tr>
    </w:tbl>
    <w:p w14:paraId="1E7415F0" w14:textId="77777777" w:rsidR="00DA19FF" w:rsidRDefault="00DA19FF" w:rsidP="000E05DA">
      <w:pPr>
        <w:spacing w:line="240" w:lineRule="auto"/>
        <w:ind w:left="360"/>
        <w:jc w:val="both"/>
      </w:pPr>
    </w:p>
    <w:p w14:paraId="3525E4DC" w14:textId="300C7DD2" w:rsidR="002B021B" w:rsidRDefault="002B021B" w:rsidP="002B021B">
      <w:pPr>
        <w:spacing w:line="240" w:lineRule="auto"/>
        <w:jc w:val="both"/>
        <w:rPr>
          <w:color w:val="000000"/>
          <w:shd w:val="clear" w:color="auto" w:fill="FFFFFF"/>
        </w:rPr>
      </w:pPr>
      <w:r>
        <w:rPr>
          <w:szCs w:val="24"/>
        </w:rPr>
        <w:t>Zlepšenie stavu druhu</w:t>
      </w:r>
      <w:r w:rsidRPr="009327A0">
        <w:rPr>
          <w:szCs w:val="24"/>
        </w:rPr>
        <w:t xml:space="preserve"> </w:t>
      </w:r>
      <w:r w:rsidRPr="00E64259">
        <w:rPr>
          <w:b/>
          <w:szCs w:val="24"/>
        </w:rPr>
        <w:t>priadkovec trnkový (</w:t>
      </w:r>
      <w:r w:rsidRPr="00E64259">
        <w:rPr>
          <w:b/>
          <w:i/>
          <w:szCs w:val="24"/>
        </w:rPr>
        <w:t>Eriogaster catax</w:t>
      </w:r>
      <w:r w:rsidRPr="00E64259">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2B021B" w:rsidRPr="00626A09" w14:paraId="494B2443" w14:textId="77777777" w:rsidTr="274D642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9C9A637" w14:textId="77777777" w:rsidR="002B021B" w:rsidRPr="00E81D0D" w:rsidRDefault="002B021B"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17FA3ABD" w14:textId="77777777" w:rsidR="002B021B" w:rsidRPr="00E81D0D" w:rsidRDefault="002B021B"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75AC2552" w14:textId="77777777" w:rsidR="002B021B" w:rsidRPr="00E81D0D" w:rsidRDefault="002B021B"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6820B1A0" w14:textId="77777777" w:rsidR="002B021B" w:rsidRPr="00E81D0D" w:rsidRDefault="002B021B" w:rsidP="00E0168C">
            <w:pPr>
              <w:spacing w:after="0" w:line="240" w:lineRule="auto"/>
              <w:jc w:val="center"/>
              <w:rPr>
                <w:rFonts w:eastAsia="Times New Roman"/>
                <w:sz w:val="20"/>
                <w:szCs w:val="20"/>
              </w:rPr>
            </w:pPr>
            <w:r w:rsidRPr="00856FF5">
              <w:rPr>
                <w:b/>
                <w:sz w:val="18"/>
                <w:szCs w:val="18"/>
              </w:rPr>
              <w:t>Doplnkové informácie</w:t>
            </w:r>
          </w:p>
        </w:tc>
      </w:tr>
      <w:tr w:rsidR="002B021B" w:rsidRPr="00626A09" w14:paraId="74945D8E" w14:textId="77777777" w:rsidTr="274D642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AEFB6" w14:textId="77777777" w:rsidR="002B021B" w:rsidRPr="00E81D0D" w:rsidRDefault="002B021B" w:rsidP="00E0168C">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88AFCFF" w14:textId="77777777" w:rsidR="002B021B" w:rsidRPr="00E81D0D" w:rsidRDefault="002B021B" w:rsidP="00E0168C">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4718A159" w14:textId="6F8D35C0" w:rsidR="002B021B" w:rsidRPr="00E81D0D" w:rsidRDefault="161EEDF7" w:rsidP="002B021B">
            <w:pPr>
              <w:spacing w:after="0" w:line="240" w:lineRule="auto"/>
              <w:jc w:val="center"/>
              <w:rPr>
                <w:rFonts w:eastAsia="Times New Roman"/>
                <w:sz w:val="20"/>
                <w:szCs w:val="20"/>
              </w:rPr>
            </w:pPr>
            <w:r w:rsidRPr="161EEDF7">
              <w:rPr>
                <w:sz w:val="20"/>
                <w:szCs w:val="20"/>
              </w:rPr>
              <w:t xml:space="preserve">najmenej </w:t>
            </w:r>
            <w:r w:rsidRPr="161EEDF7">
              <w:rPr>
                <w:sz w:val="20"/>
                <w:szCs w:val="20"/>
              </w:rPr>
              <w:t>4</w:t>
            </w:r>
            <w:r w:rsidRPr="161EEDF7">
              <w:rPr>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F29D97" w14:textId="103B08AA" w:rsidR="002B021B" w:rsidRPr="00E81D0D" w:rsidRDefault="274D642C" w:rsidP="00F97F55">
            <w:pPr>
              <w:spacing w:after="0" w:line="240" w:lineRule="auto"/>
              <w:jc w:val="center"/>
              <w:rPr>
                <w:rFonts w:eastAsia="Times New Roman"/>
                <w:sz w:val="20"/>
                <w:szCs w:val="20"/>
              </w:rPr>
            </w:pPr>
            <w:r w:rsidRPr="274D642C">
              <w:rPr>
                <w:sz w:val="20"/>
                <w:szCs w:val="20"/>
              </w:rPr>
              <w:t xml:space="preserve">odhaduje sa na veľkosť 200 až </w:t>
            </w:r>
            <w:r w:rsidRPr="274D642C">
              <w:rPr>
                <w:sz w:val="20"/>
                <w:szCs w:val="20"/>
              </w:rPr>
              <w:t>4</w:t>
            </w:r>
            <w:r w:rsidRPr="274D642C">
              <w:rPr>
                <w:sz w:val="20"/>
                <w:szCs w:val="20"/>
              </w:rPr>
              <w:t>00</w:t>
            </w:r>
            <w:r w:rsidRPr="274D642C">
              <w:rPr>
                <w:sz w:val="20"/>
                <w:szCs w:val="20"/>
              </w:rPr>
              <w:t xml:space="preserve"> </w:t>
            </w:r>
            <w:r w:rsidRPr="274D642C">
              <w:rPr>
                <w:sz w:val="20"/>
                <w:szCs w:val="20"/>
              </w:rPr>
              <w:t xml:space="preserve">jedincov ( z SDF), </w:t>
            </w:r>
            <w:r w:rsidRPr="274D642C">
              <w:rPr>
                <w:sz w:val="20"/>
                <w:szCs w:val="20"/>
              </w:rPr>
              <w:t>udržať</w:t>
            </w:r>
            <w:r w:rsidRPr="274D642C">
              <w:rPr>
                <w:sz w:val="20"/>
                <w:szCs w:val="20"/>
              </w:rPr>
              <w:t xml:space="preserve"> početnosť na min. </w:t>
            </w:r>
            <w:r w:rsidRPr="274D642C">
              <w:rPr>
                <w:sz w:val="20"/>
                <w:szCs w:val="20"/>
              </w:rPr>
              <w:t>4</w:t>
            </w:r>
            <w:r w:rsidRPr="274D642C">
              <w:rPr>
                <w:sz w:val="20"/>
                <w:szCs w:val="20"/>
              </w:rPr>
              <w:t xml:space="preserve">00 jedincov </w:t>
            </w:r>
          </w:p>
        </w:tc>
      </w:tr>
      <w:tr w:rsidR="002B021B" w:rsidRPr="00626A09" w14:paraId="0ECF2B75" w14:textId="77777777" w:rsidTr="274D642C">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D5F729" w14:textId="77777777" w:rsidR="002B021B" w:rsidRPr="00E81D0D" w:rsidRDefault="002B021B" w:rsidP="00E0168C">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7D77D35B" w14:textId="77777777" w:rsidR="002B021B" w:rsidRPr="00E81D0D" w:rsidRDefault="002B021B" w:rsidP="00E0168C">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8F446D0" w14:textId="43C826D8" w:rsidR="002B021B" w:rsidRPr="00E81D0D" w:rsidRDefault="161EEDF7" w:rsidP="00E0168C">
            <w:pPr>
              <w:spacing w:after="0" w:line="240" w:lineRule="auto"/>
              <w:jc w:val="center"/>
              <w:rPr>
                <w:rFonts w:eastAsia="Times New Roman"/>
                <w:sz w:val="20"/>
                <w:szCs w:val="20"/>
              </w:rPr>
            </w:pPr>
            <w:r w:rsidRPr="161EEDF7">
              <w:rPr>
                <w:sz w:val="20"/>
                <w:szCs w:val="20"/>
              </w:rPr>
              <w:t xml:space="preserve">najmenej </w:t>
            </w:r>
            <w:r w:rsidRPr="161EEDF7">
              <w:rPr>
                <w:sz w:val="20"/>
                <w:szCs w:val="20"/>
              </w:rPr>
              <w:t>1</w:t>
            </w:r>
            <w:r w:rsidRPr="161EEDF7">
              <w:rPr>
                <w:sz w:val="20"/>
                <w:szCs w:val="20"/>
              </w:rPr>
              <w:t>,5 ha</w:t>
            </w:r>
          </w:p>
        </w:tc>
        <w:tc>
          <w:tcPr>
            <w:tcW w:w="4252" w:type="dxa"/>
            <w:tcBorders>
              <w:top w:val="nil"/>
              <w:left w:val="nil"/>
              <w:bottom w:val="single" w:sz="4" w:space="0" w:color="auto"/>
              <w:right w:val="single" w:sz="4" w:space="0" w:color="auto"/>
            </w:tcBorders>
            <w:shd w:val="clear" w:color="auto" w:fill="auto"/>
            <w:vAlign w:val="bottom"/>
            <w:hideMark/>
          </w:tcPr>
          <w:p w14:paraId="4E4D8409" w14:textId="77777777" w:rsidR="002B021B" w:rsidRPr="00E81D0D" w:rsidRDefault="002B021B" w:rsidP="00E0168C">
            <w:pPr>
              <w:spacing w:after="0" w:line="240" w:lineRule="auto"/>
              <w:rPr>
                <w:rFonts w:eastAsia="Times New Roman"/>
                <w:sz w:val="20"/>
                <w:szCs w:val="20"/>
              </w:rPr>
            </w:pPr>
            <w:r w:rsidRPr="00EF3711">
              <w:rPr>
                <w:sz w:val="20"/>
                <w:szCs w:val="20"/>
              </w:rPr>
              <w:t>nižšie a stredné polohy, krovinaté biotopy, riedke lesy, lesné ekotony</w:t>
            </w:r>
          </w:p>
        </w:tc>
      </w:tr>
      <w:tr w:rsidR="002B021B" w:rsidRPr="00626A09" w14:paraId="4C0EE280" w14:textId="77777777" w:rsidTr="274D642C">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CC2E758" w14:textId="77777777" w:rsidR="002B021B" w:rsidRPr="00E81D0D" w:rsidRDefault="002B021B" w:rsidP="00E0168C">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C31EB85" w14:textId="77777777" w:rsidR="002B021B" w:rsidRPr="00E81D0D" w:rsidRDefault="002B021B" w:rsidP="00E0168C">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42250AE8" w14:textId="77777777" w:rsidR="002B021B" w:rsidRPr="00E81D0D" w:rsidRDefault="002B021B" w:rsidP="00E0168C">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2204BF6" w14:textId="77777777" w:rsidR="002B021B" w:rsidRPr="00E81D0D" w:rsidRDefault="002B021B" w:rsidP="00E0168C">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D863D7" w:rsidRPr="00626A09" w14:paraId="0C88E776" w14:textId="77777777" w:rsidTr="274D642C">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1422F0" w14:textId="33A90F22" w:rsidR="00D863D7" w:rsidRPr="00E81D0D" w:rsidRDefault="00D863D7" w:rsidP="00D863D7">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098D343F" w14:textId="2AD6602A" w:rsidR="00D863D7" w:rsidRPr="00E81D0D" w:rsidRDefault="00D863D7" w:rsidP="00D863D7">
            <w:pPr>
              <w:spacing w:after="0" w:line="240" w:lineRule="auto"/>
              <w:jc w:val="center"/>
              <w:rPr>
                <w:rFonts w:eastAsia="Times New Roman"/>
                <w:sz w:val="20"/>
                <w:szCs w:val="20"/>
              </w:rPr>
            </w:pPr>
            <w:r w:rsidRPr="00EF3711">
              <w:rPr>
                <w:sz w:val="20"/>
                <w:szCs w:val="20"/>
              </w:rPr>
              <w:t xml:space="preserve">% pokrytia inváznych a potenciálne inváznych </w:t>
            </w:r>
            <w:r>
              <w:rPr>
                <w:sz w:val="20"/>
                <w:szCs w:val="20"/>
              </w:rPr>
              <w:t xml:space="preserve">drevín </w:t>
            </w:r>
            <w:r w:rsidRPr="00EF3711">
              <w:rPr>
                <w:sz w:val="20"/>
                <w:szCs w:val="20"/>
              </w:rPr>
              <w:t xml:space="preserve">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091A0D76" w14:textId="4E167460" w:rsidR="00D863D7" w:rsidRPr="00E81D0D" w:rsidRDefault="00D863D7" w:rsidP="00D863D7">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478320AA" w14:textId="70E07FA1" w:rsidR="00D863D7" w:rsidRPr="00E81D0D" w:rsidRDefault="00D863D7" w:rsidP="00D863D7">
            <w:pPr>
              <w:spacing w:after="0" w:line="240" w:lineRule="auto"/>
              <w:rPr>
                <w:rFonts w:eastAsia="Times New Roman"/>
                <w:sz w:val="20"/>
                <w:szCs w:val="20"/>
              </w:rPr>
            </w:pPr>
            <w:r>
              <w:rPr>
                <w:sz w:val="20"/>
                <w:szCs w:val="20"/>
              </w:rPr>
              <w:t xml:space="preserve">Udržať sekundárnu sukcesiu </w:t>
            </w:r>
            <w:r w:rsidRPr="00EF3711">
              <w:rPr>
                <w:sz w:val="20"/>
                <w:szCs w:val="20"/>
              </w:rPr>
              <w:t>inváznych a potenciálne inváznych</w:t>
            </w:r>
            <w:r>
              <w:rPr>
                <w:sz w:val="20"/>
                <w:szCs w:val="20"/>
              </w:rPr>
              <w:t xml:space="preserve"> druhov </w:t>
            </w:r>
            <w:r w:rsidRPr="00EF3711">
              <w:rPr>
                <w:sz w:val="20"/>
                <w:szCs w:val="20"/>
              </w:rPr>
              <w:t xml:space="preserve"> na lokalite max. do 3%</w:t>
            </w:r>
          </w:p>
        </w:tc>
      </w:tr>
    </w:tbl>
    <w:p w14:paraId="7B245B34" w14:textId="77777777" w:rsidR="002B021B" w:rsidRPr="001921C3" w:rsidRDefault="002B021B" w:rsidP="002B021B">
      <w:pPr>
        <w:spacing w:line="240" w:lineRule="auto"/>
        <w:ind w:left="360"/>
        <w:jc w:val="both"/>
      </w:pPr>
    </w:p>
    <w:p w14:paraId="3CCBC2B7" w14:textId="7DF84698" w:rsidR="002B021B" w:rsidRDefault="002B021B" w:rsidP="002B021B">
      <w:pPr>
        <w:spacing w:line="240" w:lineRule="auto"/>
        <w:jc w:val="both"/>
        <w:rPr>
          <w:color w:val="000000"/>
          <w:shd w:val="clear" w:color="auto" w:fill="FFFFFF"/>
        </w:rPr>
      </w:pPr>
      <w:r>
        <w:rPr>
          <w:szCs w:val="24"/>
        </w:rPr>
        <w:t>Zlepšenie stavu druhu</w:t>
      </w:r>
      <w:r w:rsidRPr="009327A0">
        <w:rPr>
          <w:szCs w:val="24"/>
        </w:rPr>
        <w:t xml:space="preserve"> </w:t>
      </w:r>
      <w:r w:rsidRPr="00E64259">
        <w:rPr>
          <w:rFonts w:eastAsia="Times New Roman"/>
          <w:b/>
          <w:i/>
          <w:color w:val="000000"/>
        </w:rPr>
        <w:t>Lycaena dispar</w:t>
      </w:r>
      <w:r>
        <w:rPr>
          <w:szCs w:val="24"/>
        </w:rPr>
        <w:t xml:space="preserve"> z</w:t>
      </w:r>
      <w:r>
        <w:t>a splnenia nasledovných atribútov</w:t>
      </w:r>
      <w:r>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2B021B" w14:paraId="551A9D90" w14:textId="77777777" w:rsidTr="274D642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FF9C4D0" w14:textId="77777777" w:rsidR="002B021B" w:rsidRPr="00D863D7" w:rsidRDefault="002B021B" w:rsidP="00E0168C">
            <w:pPr>
              <w:spacing w:after="0" w:line="240" w:lineRule="auto"/>
              <w:jc w:val="center"/>
              <w:rPr>
                <w:rFonts w:eastAsia="Times New Roman"/>
                <w:b/>
                <w:sz w:val="20"/>
                <w:szCs w:val="20"/>
              </w:rPr>
            </w:pPr>
            <w:r w:rsidRPr="00D863D7">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5C0053B3" w14:textId="77777777" w:rsidR="002B021B" w:rsidRPr="00D863D7" w:rsidRDefault="002B021B" w:rsidP="00E0168C">
            <w:pPr>
              <w:spacing w:after="0" w:line="240" w:lineRule="auto"/>
              <w:jc w:val="center"/>
              <w:rPr>
                <w:rFonts w:eastAsia="Times New Roman"/>
                <w:b/>
                <w:sz w:val="20"/>
                <w:szCs w:val="20"/>
              </w:rPr>
            </w:pPr>
            <w:r w:rsidRPr="00D863D7">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1397E8D9" w14:textId="77777777" w:rsidR="002B021B" w:rsidRPr="00D863D7" w:rsidRDefault="002B021B" w:rsidP="00E0168C">
            <w:pPr>
              <w:spacing w:after="0" w:line="240" w:lineRule="auto"/>
              <w:jc w:val="center"/>
              <w:rPr>
                <w:rFonts w:eastAsia="Times New Roman"/>
                <w:b/>
                <w:sz w:val="20"/>
                <w:szCs w:val="20"/>
              </w:rPr>
            </w:pPr>
            <w:r w:rsidRPr="00D863D7">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45CC991C" w14:textId="77777777" w:rsidR="002B021B" w:rsidRPr="00D863D7" w:rsidRDefault="002B021B" w:rsidP="00E0168C">
            <w:pPr>
              <w:spacing w:after="0" w:line="240" w:lineRule="auto"/>
              <w:jc w:val="center"/>
              <w:rPr>
                <w:rFonts w:eastAsia="Times New Roman"/>
                <w:b/>
                <w:sz w:val="20"/>
                <w:szCs w:val="20"/>
              </w:rPr>
            </w:pPr>
            <w:r w:rsidRPr="00D863D7">
              <w:rPr>
                <w:rFonts w:eastAsia="Times New Roman"/>
                <w:b/>
                <w:sz w:val="20"/>
                <w:szCs w:val="20"/>
              </w:rPr>
              <w:t>Doplnkové informácie</w:t>
            </w:r>
          </w:p>
        </w:tc>
      </w:tr>
      <w:tr w:rsidR="002B021B" w14:paraId="54319CFA" w14:textId="77777777" w:rsidTr="274D642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91B87B5" w14:textId="77777777" w:rsidR="002B021B" w:rsidRDefault="002B021B" w:rsidP="00E0168C">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30322843" w14:textId="77777777" w:rsidR="002B021B" w:rsidRDefault="002B021B" w:rsidP="00E0168C">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0F3F4F69" w14:textId="2C00B601" w:rsidR="002B021B" w:rsidRDefault="002B021B" w:rsidP="003E7D17">
            <w:pPr>
              <w:spacing w:after="0" w:line="240" w:lineRule="auto"/>
              <w:jc w:val="center"/>
              <w:rPr>
                <w:rFonts w:eastAsia="Times New Roman"/>
                <w:sz w:val="20"/>
                <w:szCs w:val="20"/>
              </w:rPr>
            </w:pPr>
            <w:r>
              <w:rPr>
                <w:rFonts w:eastAsia="Times New Roman"/>
                <w:sz w:val="20"/>
                <w:szCs w:val="20"/>
              </w:rPr>
              <w:t xml:space="preserve">najmenej </w:t>
            </w:r>
            <w:r w:rsidR="003E7D17">
              <w:rPr>
                <w:rFonts w:eastAsia="Times New Roman"/>
                <w:sz w:val="20"/>
                <w:szCs w:val="20"/>
              </w:rPr>
              <w:t>1</w:t>
            </w:r>
            <w:r>
              <w:rPr>
                <w:rFonts w:eastAsia="Times New Roman"/>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0AD6240C" w14:textId="7086FD93" w:rsidR="002B021B" w:rsidRDefault="274D642C" w:rsidP="003E7D17">
            <w:pPr>
              <w:spacing w:after="0" w:line="240" w:lineRule="auto"/>
              <w:jc w:val="center"/>
              <w:rPr>
                <w:rFonts w:eastAsia="Times New Roman"/>
                <w:sz w:val="20"/>
                <w:szCs w:val="20"/>
              </w:rPr>
            </w:pPr>
            <w:r w:rsidRPr="274D642C">
              <w:rPr>
                <w:rFonts w:eastAsia="Times New Roman"/>
                <w:sz w:val="20"/>
                <w:szCs w:val="20"/>
              </w:rPr>
              <w:t>odhaduje sa na veľkosť do 10 jedincov ( z SDF), min. udržanie veľkosti populácie</w:t>
            </w:r>
          </w:p>
        </w:tc>
      </w:tr>
      <w:tr w:rsidR="002B021B" w14:paraId="0A02DCB6" w14:textId="77777777" w:rsidTr="274D642C">
        <w:trPr>
          <w:trHeight w:val="930"/>
        </w:trPr>
        <w:tc>
          <w:tcPr>
            <w:tcW w:w="1701" w:type="dxa"/>
            <w:tcBorders>
              <w:top w:val="nil"/>
              <w:left w:val="single" w:sz="4" w:space="0" w:color="auto"/>
              <w:bottom w:val="single" w:sz="4" w:space="0" w:color="auto"/>
              <w:right w:val="single" w:sz="4" w:space="0" w:color="auto"/>
            </w:tcBorders>
            <w:noWrap/>
            <w:vAlign w:val="center"/>
            <w:hideMark/>
          </w:tcPr>
          <w:p w14:paraId="0E5FFAA4" w14:textId="77777777" w:rsidR="002B021B" w:rsidRDefault="002B021B" w:rsidP="00E0168C">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131F1490" w14:textId="77777777" w:rsidR="002B021B" w:rsidRDefault="002B021B" w:rsidP="00E0168C">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2A648785" w14:textId="70681392" w:rsidR="002B021B" w:rsidRDefault="161EEDF7" w:rsidP="00E0168C">
            <w:pPr>
              <w:spacing w:after="0" w:line="240" w:lineRule="auto"/>
              <w:jc w:val="center"/>
              <w:rPr>
                <w:rFonts w:eastAsia="Times New Roman"/>
                <w:sz w:val="20"/>
                <w:szCs w:val="20"/>
              </w:rPr>
            </w:pPr>
            <w:r w:rsidRPr="161EEDF7">
              <w:rPr>
                <w:rFonts w:eastAsia="Times New Roman"/>
                <w:sz w:val="20"/>
                <w:szCs w:val="20"/>
              </w:rPr>
              <w:t xml:space="preserve"> </w:t>
            </w:r>
            <w:r w:rsidRPr="161EEDF7">
              <w:rPr>
                <w:rFonts w:eastAsia="Times New Roman"/>
                <w:sz w:val="20"/>
                <w:szCs w:val="20"/>
              </w:rPr>
              <w:t>0,5</w:t>
            </w:r>
            <w:r w:rsidRPr="161EEDF7">
              <w:rPr>
                <w:rFonts w:eastAsia="Times New Roman"/>
                <w:sz w:val="20"/>
                <w:szCs w:val="20"/>
              </w:rPr>
              <w:t xml:space="preserve"> ha</w:t>
            </w:r>
          </w:p>
        </w:tc>
        <w:tc>
          <w:tcPr>
            <w:tcW w:w="3969" w:type="dxa"/>
            <w:tcBorders>
              <w:top w:val="nil"/>
              <w:left w:val="nil"/>
              <w:bottom w:val="single" w:sz="4" w:space="0" w:color="auto"/>
              <w:right w:val="single" w:sz="4" w:space="0" w:color="auto"/>
            </w:tcBorders>
            <w:vAlign w:val="center"/>
            <w:hideMark/>
          </w:tcPr>
          <w:p w14:paraId="6DAFBD6C" w14:textId="16FC5934" w:rsidR="002B021B" w:rsidRDefault="161EEDF7" w:rsidP="00E0168C">
            <w:pPr>
              <w:spacing w:after="0" w:line="240" w:lineRule="auto"/>
              <w:rPr>
                <w:rFonts w:eastAsia="Times New Roman"/>
                <w:sz w:val="20"/>
                <w:szCs w:val="20"/>
              </w:rPr>
            </w:pPr>
            <w:r w:rsidRPr="161EEDF7">
              <w:rPr>
                <w:rFonts w:eastAsia="Times New Roman"/>
                <w:sz w:val="20"/>
                <w:szCs w:val="20"/>
              </w:rPr>
              <w:t>Územie nemá vodný tok, typické biotopy druhu (</w:t>
            </w:r>
            <w:r w:rsidRPr="161EEDF7">
              <w:rPr>
                <w:rFonts w:eastAsia="Times New Roman"/>
                <w:sz w:val="20"/>
                <w:szCs w:val="20"/>
              </w:rPr>
              <w:t>nižšie a stredné polohy pozdĺž vodných tokov a brehové porasty s výskytom štiavu (</w:t>
            </w:r>
            <w:r w:rsidRPr="161EEDF7">
              <w:rPr>
                <w:rFonts w:eastAsia="Times New Roman"/>
                <w:i/>
                <w:iCs/>
                <w:sz w:val="20"/>
                <w:szCs w:val="20"/>
              </w:rPr>
              <w:t>Rumex</w:t>
            </w:r>
            <w:r w:rsidRPr="161EEDF7">
              <w:rPr>
                <w:rFonts w:eastAsia="Times New Roman"/>
                <w:sz w:val="20"/>
                <w:szCs w:val="20"/>
              </w:rPr>
              <w:t xml:space="preserve"> sp.)</w:t>
            </w:r>
            <w:r w:rsidRPr="161EEDF7">
              <w:rPr>
                <w:rFonts w:eastAsia="Times New Roman"/>
                <w:sz w:val="20"/>
                <w:szCs w:val="20"/>
              </w:rPr>
              <w:t xml:space="preserve"> sú za východným okrajom územia. Druh má schopnosť disperzie do mezofilných lúk s výskytom štiavu.</w:t>
            </w:r>
          </w:p>
        </w:tc>
      </w:tr>
      <w:tr w:rsidR="002B021B" w14:paraId="63D57A5B" w14:textId="77777777" w:rsidTr="274D642C">
        <w:trPr>
          <w:trHeight w:val="1550"/>
        </w:trPr>
        <w:tc>
          <w:tcPr>
            <w:tcW w:w="1701" w:type="dxa"/>
            <w:tcBorders>
              <w:top w:val="nil"/>
              <w:left w:val="single" w:sz="4" w:space="0" w:color="auto"/>
              <w:bottom w:val="single" w:sz="4" w:space="0" w:color="auto"/>
              <w:right w:val="single" w:sz="4" w:space="0" w:color="auto"/>
            </w:tcBorders>
            <w:vAlign w:val="center"/>
            <w:hideMark/>
          </w:tcPr>
          <w:p w14:paraId="2AD9EAFD" w14:textId="77777777" w:rsidR="002B021B" w:rsidRDefault="002B021B" w:rsidP="00E0168C">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0518C095" w14:textId="77777777" w:rsidR="002B021B" w:rsidRDefault="002B021B" w:rsidP="00E0168C">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21A0D159" w14:textId="77777777" w:rsidR="002B021B" w:rsidRDefault="002B021B" w:rsidP="00E0168C">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8C062B" w14:textId="68EE63F4" w:rsidR="002B021B" w:rsidRDefault="161EEDF7" w:rsidP="00E0168C">
            <w:pPr>
              <w:spacing w:after="0" w:line="240" w:lineRule="auto"/>
              <w:rPr>
                <w:rFonts w:eastAsia="Times New Roman"/>
                <w:sz w:val="20"/>
                <w:szCs w:val="20"/>
              </w:rPr>
            </w:pPr>
            <w:r w:rsidRPr="161EEDF7">
              <w:rPr>
                <w:rFonts w:eastAsia="Times New Roman"/>
                <w:color w:val="000000" w:themeColor="text1"/>
                <w:sz w:val="20"/>
                <w:szCs w:val="20"/>
              </w:rPr>
              <w:t xml:space="preserve">zachovanie lúčnej vegetácie  s hostiteľskou rastlinou Rumex sp. </w:t>
            </w:r>
            <w:r w:rsidRPr="161EEDF7">
              <w:rPr>
                <w:rFonts w:eastAsia="Times New Roman"/>
                <w:color w:val="000000" w:themeColor="text1"/>
                <w:sz w:val="20"/>
                <w:szCs w:val="20"/>
              </w:rPr>
              <w:t>v</w:t>
            </w:r>
            <w:r w:rsidRPr="161EEDF7">
              <w:rPr>
                <w:rFonts w:eastAsia="Times New Roman"/>
                <w:color w:val="000000" w:themeColor="text1"/>
                <w:sz w:val="20"/>
                <w:szCs w:val="20"/>
              </w:rPr>
              <w:t> zastúpení min. 20 %</w:t>
            </w:r>
          </w:p>
        </w:tc>
      </w:tr>
    </w:tbl>
    <w:p w14:paraId="5697A958" w14:textId="6ADA64F2" w:rsidR="0022535E" w:rsidRDefault="0022535E" w:rsidP="00140708">
      <w:pPr>
        <w:pStyle w:val="Zkladntext"/>
        <w:widowControl w:val="0"/>
        <w:jc w:val="both"/>
        <w:rPr>
          <w:lang w:val="sk-SK"/>
        </w:rPr>
      </w:pPr>
    </w:p>
    <w:p w14:paraId="07A3BC83" w14:textId="0354B061" w:rsidR="008C230F" w:rsidRDefault="008C230F" w:rsidP="008C230F">
      <w:pPr>
        <w:pStyle w:val="Zkladntext"/>
        <w:widowControl w:val="0"/>
        <w:jc w:val="both"/>
        <w:rPr>
          <w:lang w:val="sk-SK"/>
        </w:rPr>
      </w:pPr>
      <w:r>
        <w:rPr>
          <w:lang w:val="sk-SK"/>
        </w:rPr>
        <w:t xml:space="preserve">Zlepšenie </w:t>
      </w:r>
      <w:r>
        <w:t xml:space="preserve">stavu druhu </w:t>
      </w:r>
      <w:r>
        <w:rPr>
          <w:b/>
          <w:i/>
          <w:lang w:val="sk-SK"/>
        </w:rPr>
        <w:t xml:space="preserve">Colias myrmidone </w:t>
      </w:r>
      <w:r w:rsidRPr="00626A09">
        <w:rPr>
          <w:color w:val="000000"/>
        </w:rPr>
        <w:t xml:space="preserve">v súlade s nasledovnými </w:t>
      </w:r>
      <w:r>
        <w:rPr>
          <w:color w:val="000000"/>
        </w:rPr>
        <w:t>atribútmi a cieľovými hodnotami:</w:t>
      </w:r>
    </w:p>
    <w:tbl>
      <w:tblPr>
        <w:tblW w:w="5372" w:type="pct"/>
        <w:tblInd w:w="-244" w:type="dxa"/>
        <w:tblCellMar>
          <w:left w:w="70" w:type="dxa"/>
          <w:right w:w="70" w:type="dxa"/>
        </w:tblCellMar>
        <w:tblLook w:val="04A0" w:firstRow="1" w:lastRow="0" w:firstColumn="1" w:lastColumn="0" w:noHBand="0" w:noVBand="1"/>
      </w:tblPr>
      <w:tblGrid>
        <w:gridCol w:w="1768"/>
        <w:gridCol w:w="1328"/>
        <w:gridCol w:w="1963"/>
        <w:gridCol w:w="4678"/>
      </w:tblGrid>
      <w:tr w:rsidR="008C230F" w:rsidRPr="00870D1F" w14:paraId="50BCF15B" w14:textId="77777777" w:rsidTr="00D863D7">
        <w:trPr>
          <w:trHeight w:val="354"/>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398E6" w14:textId="77777777" w:rsidR="008C230F" w:rsidRPr="00870D1F" w:rsidRDefault="008C230F" w:rsidP="00E0168C">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68D88F1" w14:textId="77777777" w:rsidR="008C230F" w:rsidRPr="00870D1F" w:rsidRDefault="008C230F" w:rsidP="00E0168C">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ECB7A23" w14:textId="77777777" w:rsidR="008C230F" w:rsidRPr="00870D1F" w:rsidRDefault="008C230F" w:rsidP="00E0168C">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F1982D5" w14:textId="77777777" w:rsidR="008C230F" w:rsidRPr="00870D1F" w:rsidRDefault="008C230F" w:rsidP="00E0168C">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8C230F" w:rsidRPr="00870D1F" w14:paraId="45EB0228" w14:textId="77777777" w:rsidTr="00D863D7">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410F0" w14:textId="77777777" w:rsidR="008C230F" w:rsidRPr="00870D1F" w:rsidRDefault="008C230F" w:rsidP="00E0168C">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48AC213" w14:textId="77777777" w:rsidR="008C230F" w:rsidRPr="00870D1F" w:rsidRDefault="008C230F" w:rsidP="00E0168C">
            <w:pPr>
              <w:spacing w:line="240" w:lineRule="auto"/>
              <w:rPr>
                <w:rFonts w:eastAsia="Times New Roman"/>
                <w:color w:val="000000"/>
                <w:sz w:val="20"/>
                <w:szCs w:val="20"/>
              </w:rPr>
            </w:pPr>
            <w:r w:rsidRPr="00870D1F">
              <w:rPr>
                <w:rFonts w:eastAsia="Times New Roman"/>
                <w:color w:val="000000"/>
                <w:sz w:val="20"/>
                <w:szCs w:val="20"/>
              </w:rPr>
              <w:t xml:space="preserve">počet </w:t>
            </w:r>
            <w:r>
              <w:rPr>
                <w:rFonts w:eastAsia="Times New Roman"/>
                <w:color w:val="000000"/>
                <w:sz w:val="20"/>
                <w:szCs w:val="20"/>
              </w:rPr>
              <w:t>jedincov</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A44022F" w14:textId="77777777" w:rsidR="008C230F" w:rsidRPr="00870D1F" w:rsidRDefault="008C230F" w:rsidP="00E0168C">
            <w:pPr>
              <w:spacing w:line="240" w:lineRule="auto"/>
              <w:rPr>
                <w:rFonts w:eastAsia="Times New Roman"/>
                <w:color w:val="000000"/>
                <w:sz w:val="20"/>
                <w:szCs w:val="20"/>
              </w:rPr>
            </w:pPr>
            <w:r>
              <w:rPr>
                <w:rFonts w:eastAsia="Times New Roman"/>
                <w:color w:val="000000"/>
                <w:sz w:val="20"/>
                <w:szCs w:val="20"/>
              </w:rPr>
              <w:t>Min. 10</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E149028" w14:textId="5BE40EBB" w:rsidR="008C230F" w:rsidRPr="00870D1F" w:rsidRDefault="161EEDF7" w:rsidP="00D863D7">
            <w:pPr>
              <w:spacing w:line="240" w:lineRule="auto"/>
              <w:rPr>
                <w:rFonts w:eastAsia="Times New Roman"/>
                <w:color w:val="000000"/>
                <w:sz w:val="20"/>
                <w:szCs w:val="20"/>
              </w:rPr>
            </w:pPr>
            <w:r w:rsidRPr="161EEDF7">
              <w:rPr>
                <w:rFonts w:eastAsia="Times New Roman"/>
                <w:color w:val="000000" w:themeColor="text1"/>
                <w:sz w:val="20"/>
                <w:szCs w:val="20"/>
              </w:rPr>
              <w:t>Početnosť druhu nízka, javí sa ako fluktuant</w:t>
            </w:r>
            <w:r w:rsidR="00D863D7">
              <w:rPr>
                <w:rFonts w:eastAsia="Times New Roman"/>
                <w:color w:val="000000" w:themeColor="text1"/>
                <w:sz w:val="20"/>
                <w:szCs w:val="20"/>
              </w:rPr>
              <w:t>,</w:t>
            </w:r>
            <w:r w:rsidRPr="161EEDF7">
              <w:rPr>
                <w:rFonts w:eastAsia="Times New Roman"/>
                <w:color w:val="000000" w:themeColor="text1"/>
                <w:sz w:val="20"/>
                <w:szCs w:val="20"/>
              </w:rPr>
              <w:t xml:space="preserve"> v súčasnosti odhadovan</w:t>
            </w:r>
            <w:r w:rsidRPr="161EEDF7">
              <w:rPr>
                <w:rFonts w:eastAsia="Times New Roman"/>
                <w:color w:val="000000" w:themeColor="text1"/>
                <w:sz w:val="20"/>
                <w:szCs w:val="20"/>
              </w:rPr>
              <w:t xml:space="preserve">ý počet </w:t>
            </w:r>
            <w:r w:rsidRPr="161EEDF7">
              <w:rPr>
                <w:rFonts w:eastAsia="Times New Roman"/>
                <w:color w:val="000000" w:themeColor="text1"/>
                <w:sz w:val="20"/>
                <w:szCs w:val="20"/>
              </w:rPr>
              <w:t xml:space="preserve">2 až 10 jedincov </w:t>
            </w:r>
          </w:p>
        </w:tc>
      </w:tr>
      <w:tr w:rsidR="008C230F" w:rsidRPr="00870D1F" w14:paraId="1D8ECEAC" w14:textId="77777777" w:rsidTr="00D863D7">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63BE9823" w14:textId="77777777" w:rsidR="008C230F" w:rsidRPr="00870D1F" w:rsidRDefault="008C230F" w:rsidP="00E0168C">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328" w:type="dxa"/>
            <w:tcBorders>
              <w:top w:val="nil"/>
              <w:left w:val="nil"/>
              <w:bottom w:val="single" w:sz="4" w:space="0" w:color="auto"/>
              <w:right w:val="single" w:sz="4" w:space="0" w:color="auto"/>
            </w:tcBorders>
            <w:shd w:val="clear" w:color="auto" w:fill="auto"/>
            <w:noWrap/>
            <w:vAlign w:val="center"/>
            <w:hideMark/>
          </w:tcPr>
          <w:p w14:paraId="21DF6E3A" w14:textId="77777777" w:rsidR="008C230F" w:rsidRPr="00870D1F" w:rsidRDefault="161EEDF7" w:rsidP="00E0168C">
            <w:pPr>
              <w:spacing w:line="240" w:lineRule="auto"/>
              <w:rPr>
                <w:rFonts w:eastAsia="Times New Roman"/>
                <w:color w:val="000000"/>
                <w:sz w:val="20"/>
                <w:szCs w:val="20"/>
              </w:rPr>
            </w:pPr>
            <w:r w:rsidRPr="161EEDF7">
              <w:rPr>
                <w:rFonts w:eastAsia="Times New Roman"/>
                <w:color w:val="000000" w:themeColor="text1"/>
                <w:sz w:val="20"/>
                <w:szCs w:val="20"/>
              </w:rPr>
              <w:t>ha</w:t>
            </w:r>
          </w:p>
        </w:tc>
        <w:tc>
          <w:tcPr>
            <w:tcW w:w="1963" w:type="dxa"/>
            <w:tcBorders>
              <w:top w:val="nil"/>
              <w:left w:val="nil"/>
              <w:bottom w:val="single" w:sz="4" w:space="0" w:color="auto"/>
              <w:right w:val="single" w:sz="4" w:space="0" w:color="auto"/>
            </w:tcBorders>
            <w:shd w:val="clear" w:color="auto" w:fill="auto"/>
            <w:noWrap/>
            <w:vAlign w:val="center"/>
          </w:tcPr>
          <w:p w14:paraId="1394760C" w14:textId="1568AB07" w:rsidR="008C230F" w:rsidRPr="00870D1F" w:rsidRDefault="1303DD21" w:rsidP="00E0168C">
            <w:pPr>
              <w:spacing w:line="240" w:lineRule="auto"/>
              <w:rPr>
                <w:rFonts w:eastAsia="Times New Roman"/>
                <w:color w:val="000000"/>
                <w:sz w:val="20"/>
                <w:szCs w:val="20"/>
              </w:rPr>
            </w:pPr>
            <w:r w:rsidRPr="1303DD21">
              <w:rPr>
                <w:rFonts w:eastAsia="Times New Roman"/>
                <w:color w:val="000000" w:themeColor="text1"/>
                <w:sz w:val="20"/>
                <w:szCs w:val="20"/>
              </w:rPr>
              <w:t>5</w:t>
            </w:r>
          </w:p>
        </w:tc>
        <w:tc>
          <w:tcPr>
            <w:tcW w:w="4678" w:type="dxa"/>
            <w:tcBorders>
              <w:top w:val="nil"/>
              <w:left w:val="nil"/>
              <w:bottom w:val="single" w:sz="4" w:space="0" w:color="auto"/>
              <w:right w:val="single" w:sz="4" w:space="0" w:color="auto"/>
            </w:tcBorders>
            <w:shd w:val="clear" w:color="auto" w:fill="auto"/>
            <w:noWrap/>
            <w:vAlign w:val="center"/>
            <w:hideMark/>
          </w:tcPr>
          <w:p w14:paraId="41816F12" w14:textId="0D87347B" w:rsidR="008C230F" w:rsidRPr="00870D1F" w:rsidRDefault="161EEDF7" w:rsidP="00E0168C">
            <w:pPr>
              <w:spacing w:line="240" w:lineRule="auto"/>
              <w:rPr>
                <w:rFonts w:eastAsia="Times New Roman"/>
                <w:color w:val="000000"/>
                <w:sz w:val="20"/>
                <w:szCs w:val="20"/>
              </w:rPr>
            </w:pPr>
            <w:r w:rsidRPr="161EEDF7">
              <w:rPr>
                <w:rFonts w:eastAsia="Times New Roman"/>
                <w:color w:val="000000" w:themeColor="text1"/>
                <w:sz w:val="20"/>
                <w:szCs w:val="20"/>
              </w:rPr>
              <w:t>Suchšie lesostepné a p</w:t>
            </w:r>
            <w:r w:rsidR="00D863D7">
              <w:rPr>
                <w:rFonts w:eastAsia="Times New Roman"/>
                <w:color w:val="000000" w:themeColor="text1"/>
                <w:sz w:val="20"/>
                <w:szCs w:val="20"/>
              </w:rPr>
              <w:t>a</w:t>
            </w:r>
            <w:r w:rsidRPr="161EEDF7">
              <w:rPr>
                <w:rFonts w:eastAsia="Times New Roman"/>
                <w:color w:val="000000" w:themeColor="text1"/>
                <w:sz w:val="20"/>
                <w:szCs w:val="20"/>
              </w:rPr>
              <w:t>sienkové spoločenstvá na spraši, dolomitoch alebo vápencoch, mezofilné extenzívne obhospodarované sady a pasienky (mierne svahovité).</w:t>
            </w:r>
          </w:p>
        </w:tc>
      </w:tr>
      <w:tr w:rsidR="008C230F" w:rsidRPr="00870D1F" w14:paraId="0A85B5AC" w14:textId="77777777" w:rsidTr="00D863D7">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0A9B5AC1" w14:textId="77777777" w:rsidR="008C230F" w:rsidRPr="00870D1F" w:rsidRDefault="008C230F" w:rsidP="00E0168C">
            <w:pPr>
              <w:spacing w:line="240" w:lineRule="auto"/>
              <w:rPr>
                <w:rFonts w:eastAsia="Times New Roman"/>
                <w:color w:val="000000"/>
                <w:sz w:val="20"/>
                <w:szCs w:val="20"/>
              </w:rPr>
            </w:pPr>
            <w:r>
              <w:rPr>
                <w:rFonts w:eastAsia="Times New Roman"/>
                <w:color w:val="000000"/>
                <w:sz w:val="20"/>
                <w:szCs w:val="20"/>
              </w:rPr>
              <w:t>Kvalita biotopu</w:t>
            </w:r>
          </w:p>
        </w:tc>
        <w:tc>
          <w:tcPr>
            <w:tcW w:w="1328" w:type="dxa"/>
            <w:tcBorders>
              <w:top w:val="nil"/>
              <w:left w:val="nil"/>
              <w:bottom w:val="single" w:sz="4" w:space="0" w:color="auto"/>
              <w:right w:val="single" w:sz="4" w:space="0" w:color="auto"/>
            </w:tcBorders>
            <w:shd w:val="clear" w:color="auto" w:fill="auto"/>
            <w:noWrap/>
            <w:vAlign w:val="center"/>
            <w:hideMark/>
          </w:tcPr>
          <w:p w14:paraId="04F54F6C" w14:textId="77777777" w:rsidR="008C230F" w:rsidRPr="00870D1F" w:rsidRDefault="008C230F" w:rsidP="00E0168C">
            <w:pPr>
              <w:spacing w:line="240" w:lineRule="auto"/>
              <w:rPr>
                <w:rFonts w:eastAsia="Times New Roman"/>
                <w:color w:val="000000"/>
                <w:sz w:val="20"/>
                <w:szCs w:val="20"/>
              </w:rPr>
            </w:pPr>
            <w:r>
              <w:rPr>
                <w:rFonts w:eastAsia="Times New Roman"/>
                <w:color w:val="000000"/>
                <w:sz w:val="20"/>
                <w:szCs w:val="20"/>
              </w:rPr>
              <w:t>Výskyt živných druhov rastlín</w:t>
            </w:r>
          </w:p>
        </w:tc>
        <w:tc>
          <w:tcPr>
            <w:tcW w:w="1963" w:type="dxa"/>
            <w:tcBorders>
              <w:top w:val="nil"/>
              <w:left w:val="nil"/>
              <w:bottom w:val="single" w:sz="4" w:space="0" w:color="auto"/>
              <w:right w:val="single" w:sz="4" w:space="0" w:color="auto"/>
            </w:tcBorders>
            <w:shd w:val="clear" w:color="auto" w:fill="auto"/>
            <w:noWrap/>
            <w:vAlign w:val="center"/>
            <w:hideMark/>
          </w:tcPr>
          <w:p w14:paraId="51F48347" w14:textId="77777777" w:rsidR="008C230F" w:rsidRPr="00870D1F" w:rsidRDefault="008C230F" w:rsidP="00E0168C">
            <w:pPr>
              <w:spacing w:line="240" w:lineRule="auto"/>
              <w:rPr>
                <w:rFonts w:eastAsia="Times New Roman"/>
                <w:color w:val="000000"/>
                <w:sz w:val="20"/>
                <w:szCs w:val="20"/>
              </w:rPr>
            </w:pPr>
            <w:r>
              <w:rPr>
                <w:rFonts w:eastAsia="Times New Roman"/>
                <w:color w:val="000000"/>
                <w:sz w:val="20"/>
                <w:szCs w:val="20"/>
              </w:rPr>
              <w:t>Zastúpenie živných druhov – viac ako 40 %</w:t>
            </w:r>
          </w:p>
        </w:tc>
        <w:tc>
          <w:tcPr>
            <w:tcW w:w="4678" w:type="dxa"/>
            <w:tcBorders>
              <w:top w:val="nil"/>
              <w:left w:val="nil"/>
              <w:bottom w:val="single" w:sz="4" w:space="0" w:color="auto"/>
              <w:right w:val="single" w:sz="4" w:space="0" w:color="auto"/>
            </w:tcBorders>
            <w:shd w:val="clear" w:color="auto" w:fill="auto"/>
            <w:vAlign w:val="center"/>
            <w:hideMark/>
          </w:tcPr>
          <w:p w14:paraId="2C5D189B" w14:textId="3F811C0F" w:rsidR="008C230F" w:rsidRPr="00870D1F" w:rsidRDefault="161EEDF7" w:rsidP="00E0168C">
            <w:pPr>
              <w:spacing w:line="240" w:lineRule="auto"/>
              <w:rPr>
                <w:rFonts w:eastAsia="Times New Roman"/>
                <w:color w:val="000000"/>
                <w:sz w:val="20"/>
                <w:szCs w:val="20"/>
              </w:rPr>
            </w:pPr>
            <w:r w:rsidRPr="161EEDF7">
              <w:rPr>
                <w:rFonts w:eastAsia="Times New Roman"/>
                <w:color w:val="000000" w:themeColor="text1"/>
                <w:sz w:val="20"/>
                <w:szCs w:val="20"/>
              </w:rPr>
              <w:t>Početný v</w:t>
            </w:r>
            <w:r w:rsidRPr="161EEDF7">
              <w:rPr>
                <w:rFonts w:eastAsia="Times New Roman"/>
                <w:color w:val="000000" w:themeColor="text1"/>
                <w:sz w:val="20"/>
                <w:szCs w:val="20"/>
              </w:rPr>
              <w:t>ýskyt živn</w:t>
            </w:r>
            <w:r w:rsidRPr="161EEDF7">
              <w:rPr>
                <w:rFonts w:eastAsia="Times New Roman"/>
                <w:color w:val="000000" w:themeColor="text1"/>
                <w:sz w:val="20"/>
                <w:szCs w:val="20"/>
              </w:rPr>
              <w:t>ej rastliny</w:t>
            </w:r>
            <w:r w:rsidRPr="161EEDF7">
              <w:rPr>
                <w:rFonts w:eastAsia="Times New Roman"/>
                <w:color w:val="000000" w:themeColor="text1"/>
                <w:sz w:val="20"/>
                <w:szCs w:val="20"/>
              </w:rPr>
              <w:t xml:space="preserve"> – zanoväť nízka (</w:t>
            </w:r>
            <w:r w:rsidRPr="161EEDF7">
              <w:rPr>
                <w:rFonts w:eastAsia="Times New Roman"/>
                <w:i/>
                <w:iCs/>
                <w:color w:val="000000" w:themeColor="text1"/>
                <w:sz w:val="20"/>
                <w:szCs w:val="20"/>
              </w:rPr>
              <w:t>Cytisus supinus</w:t>
            </w:r>
            <w:r w:rsidR="00D863D7">
              <w:rPr>
                <w:rFonts w:eastAsia="Times New Roman"/>
                <w:color w:val="000000" w:themeColor="text1"/>
                <w:sz w:val="20"/>
                <w:szCs w:val="20"/>
              </w:rPr>
              <w:t>)</w:t>
            </w:r>
            <w:bookmarkStart w:id="0" w:name="_GoBack"/>
            <w:bookmarkEnd w:id="0"/>
            <w:r w:rsidRPr="161EEDF7">
              <w:rPr>
                <w:rFonts w:eastAsia="Times New Roman"/>
                <w:color w:val="000000" w:themeColor="text1"/>
                <w:sz w:val="20"/>
                <w:szCs w:val="20"/>
              </w:rPr>
              <w:t>. Biotop vo vyhovujúcom stave</w:t>
            </w:r>
            <w:r w:rsidRPr="161EEDF7">
              <w:rPr>
                <w:rFonts w:eastAsia="Times New Roman"/>
                <w:color w:val="000000" w:themeColor="text1"/>
                <w:sz w:val="20"/>
                <w:szCs w:val="20"/>
              </w:rPr>
              <w:t>.</w:t>
            </w:r>
          </w:p>
        </w:tc>
      </w:tr>
    </w:tbl>
    <w:p w14:paraId="46974646" w14:textId="77777777" w:rsidR="008C230F" w:rsidRDefault="008C230F" w:rsidP="008C230F">
      <w:pPr>
        <w:pStyle w:val="Zkladntext"/>
        <w:widowControl w:val="0"/>
        <w:ind w:left="360"/>
        <w:jc w:val="both"/>
        <w:rPr>
          <w:lang w:val="sk-SK"/>
        </w:rPr>
      </w:pPr>
    </w:p>
    <w:p w14:paraId="575F8CA7" w14:textId="77777777" w:rsidR="008C230F" w:rsidRDefault="008C230F" w:rsidP="00140708">
      <w:pPr>
        <w:pStyle w:val="Zkladntext"/>
        <w:widowControl w:val="0"/>
        <w:jc w:val="both"/>
        <w:rPr>
          <w:lang w:val="sk-SK"/>
        </w:rPr>
      </w:pPr>
    </w:p>
    <w:sectPr w:rsidR="008C230F">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71BEC"/>
    <w:rsid w:val="001E6775"/>
    <w:rsid w:val="00203B08"/>
    <w:rsid w:val="0022535E"/>
    <w:rsid w:val="00240459"/>
    <w:rsid w:val="002B021B"/>
    <w:rsid w:val="002E60DF"/>
    <w:rsid w:val="003509FA"/>
    <w:rsid w:val="003E7D17"/>
    <w:rsid w:val="003E7F90"/>
    <w:rsid w:val="00476AF7"/>
    <w:rsid w:val="004B5E26"/>
    <w:rsid w:val="004F7434"/>
    <w:rsid w:val="00562BB2"/>
    <w:rsid w:val="005B68C6"/>
    <w:rsid w:val="005C00AB"/>
    <w:rsid w:val="0060488B"/>
    <w:rsid w:val="00687A45"/>
    <w:rsid w:val="006A695F"/>
    <w:rsid w:val="00713326"/>
    <w:rsid w:val="008C230F"/>
    <w:rsid w:val="009667BE"/>
    <w:rsid w:val="00A4711A"/>
    <w:rsid w:val="00A5789F"/>
    <w:rsid w:val="00A81817"/>
    <w:rsid w:val="00AB2A2D"/>
    <w:rsid w:val="00BF1520"/>
    <w:rsid w:val="00C65C57"/>
    <w:rsid w:val="00C9571F"/>
    <w:rsid w:val="00D45B49"/>
    <w:rsid w:val="00D76319"/>
    <w:rsid w:val="00D77700"/>
    <w:rsid w:val="00D863D7"/>
    <w:rsid w:val="00DA19FF"/>
    <w:rsid w:val="00E054A3"/>
    <w:rsid w:val="00E64259"/>
    <w:rsid w:val="00EC67A6"/>
    <w:rsid w:val="00EE1D73"/>
    <w:rsid w:val="00F0318A"/>
    <w:rsid w:val="00F436A8"/>
    <w:rsid w:val="00F97F55"/>
    <w:rsid w:val="01121543"/>
    <w:rsid w:val="0A68C567"/>
    <w:rsid w:val="10868E71"/>
    <w:rsid w:val="1303DD21"/>
    <w:rsid w:val="161EEDF7"/>
    <w:rsid w:val="18874938"/>
    <w:rsid w:val="274D642C"/>
    <w:rsid w:val="31A32DCD"/>
    <w:rsid w:val="43602ADD"/>
    <w:rsid w:val="49030E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739d2d5d746c401a"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14</cp:revision>
  <dcterms:created xsi:type="dcterms:W3CDTF">2023-05-30T12:19:00Z</dcterms:created>
  <dcterms:modified xsi:type="dcterms:W3CDTF">2023-08-04T11:03:00Z</dcterms:modified>
</cp:coreProperties>
</file>