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E9" w:rsidRPr="00FA68E1" w:rsidRDefault="000F4BE9" w:rsidP="000F4BE9">
      <w:pPr>
        <w:pStyle w:val="Bezriadkovania"/>
        <w:rPr>
          <w:rStyle w:val="Nadpis3Char"/>
          <w:rFonts w:ascii="Times New Roman" w:hAnsi="Times New Roman" w:cs="Times New Roman"/>
          <w:b/>
          <w:color w:val="000000" w:themeColor="text1"/>
        </w:rPr>
      </w:pPr>
      <w:r>
        <w:rPr>
          <w:rFonts w:ascii="Times New Roman" w:hAnsi="Times New Roman" w:cs="Times New Roman"/>
          <w:b/>
          <w:sz w:val="24"/>
          <w:szCs w:val="24"/>
        </w:rPr>
        <w:t>C</w:t>
      </w:r>
      <w:bookmarkStart w:id="0" w:name="_GoBack"/>
      <w:bookmarkEnd w:id="0"/>
      <w:r w:rsidRPr="000F4BE9">
        <w:rPr>
          <w:rFonts w:ascii="Times New Roman" w:hAnsi="Times New Roman" w:cs="Times New Roman"/>
          <w:b/>
          <w:sz w:val="24"/>
          <w:szCs w:val="24"/>
        </w:rPr>
        <w:t>iele ochrany</w:t>
      </w:r>
      <w:r w:rsidRPr="00FA68E1">
        <w:rPr>
          <w:rFonts w:ascii="Times New Roman" w:hAnsi="Times New Roman" w:cs="Times New Roman"/>
          <w:sz w:val="24"/>
          <w:szCs w:val="24"/>
        </w:rPr>
        <w:t xml:space="preserve"> </w:t>
      </w:r>
      <w:r w:rsidRPr="00FA68E1">
        <w:rPr>
          <w:rStyle w:val="Nadpis3Char"/>
          <w:rFonts w:ascii="Times New Roman" w:hAnsi="Times New Roman" w:cs="Times New Roman"/>
          <w:b/>
          <w:color w:val="000000" w:themeColor="text1"/>
        </w:rPr>
        <w:t>SKUEV0737 Palanta</w:t>
      </w:r>
    </w:p>
    <w:p w:rsidR="000F4BE9" w:rsidRPr="00FA68E1" w:rsidRDefault="000F4BE9" w:rsidP="000F4BE9">
      <w:pPr>
        <w:rPr>
          <w:rFonts w:ascii="Times New Roman" w:hAnsi="Times New Roman" w:cs="Times New Roman"/>
        </w:rPr>
      </w:pPr>
    </w:p>
    <w:p w:rsidR="000F4BE9" w:rsidRPr="00FA68E1" w:rsidRDefault="000F4BE9" w:rsidP="000F4BE9">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0F4BE9" w:rsidRPr="00FA68E1" w:rsidTr="00EF3711">
        <w:trPr>
          <w:jc w:val="center"/>
        </w:trPr>
        <w:tc>
          <w:tcPr>
            <w:tcW w:w="1696"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0F4BE9" w:rsidRPr="00FA68E1" w:rsidTr="00EF3711">
        <w:trPr>
          <w:trHeight w:val="275"/>
          <w:jc w:val="center"/>
        </w:trPr>
        <w:tc>
          <w:tcPr>
            <w:tcW w:w="1696"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Min. 24,47</w:t>
            </w:r>
          </w:p>
        </w:tc>
        <w:tc>
          <w:tcPr>
            <w:tcW w:w="512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Zvýšenie z existujúcej výmery 24,47 ha biotopu v ÚEV. </w:t>
            </w:r>
          </w:p>
        </w:tc>
      </w:tr>
      <w:tr w:rsidR="000F4BE9" w:rsidRPr="00FA68E1" w:rsidTr="00EF3711">
        <w:trPr>
          <w:trHeight w:val="179"/>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pStyle w:val="Odsekzoznamu"/>
              <w:widowControl w:val="0"/>
              <w:tabs>
                <w:tab w:val="left" w:pos="1323"/>
              </w:tabs>
              <w:autoSpaceDE w:val="0"/>
              <w:autoSpaceDN w:val="0"/>
              <w:spacing w:line="240" w:lineRule="auto"/>
              <w:ind w:left="0" w:right="67"/>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0F4BE9" w:rsidRPr="00FA68E1" w:rsidRDefault="000F4BE9" w:rsidP="00EF3711">
            <w:pPr>
              <w:pStyle w:val="Odsekzoznamu"/>
              <w:widowControl w:val="0"/>
              <w:tabs>
                <w:tab w:val="left" w:pos="1323"/>
              </w:tabs>
              <w:autoSpaceDE w:val="0"/>
              <w:autoSpaceDN w:val="0"/>
              <w:spacing w:line="240" w:lineRule="auto"/>
              <w:ind w:left="0" w:right="67"/>
              <w:jc w:val="both"/>
              <w:rPr>
                <w:rFonts w:ascii="Times New Roman" w:hAnsi="Times New Roman" w:cs="Times New Roman"/>
                <w:sz w:val="20"/>
                <w:szCs w:val="20"/>
              </w:rPr>
            </w:pPr>
          </w:p>
          <w:p w:rsidR="000F4BE9" w:rsidRPr="00FA68E1" w:rsidRDefault="000F4BE9" w:rsidP="00EF3711">
            <w:pPr>
              <w:ind w:right="67"/>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0F4BE9" w:rsidRPr="00FA68E1" w:rsidTr="00EF3711">
        <w:trPr>
          <w:trHeight w:val="173"/>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F4BE9" w:rsidRPr="00FA68E1" w:rsidTr="00EF3711">
        <w:trPr>
          <w:trHeight w:val="114"/>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0F4BE9" w:rsidRPr="00FA68E1" w:rsidTr="00EF3711">
        <w:trPr>
          <w:trHeight w:val="114"/>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0F4BE9" w:rsidRPr="00FA68E1" w:rsidRDefault="000F4BE9"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0F4BE9" w:rsidRPr="00FA68E1" w:rsidRDefault="000F4BE9" w:rsidP="00EF3711">
            <w:pPr>
              <w:spacing w:line="240" w:lineRule="auto"/>
              <w:rPr>
                <w:rFonts w:ascii="Times New Roman" w:hAnsi="Times New Roman" w:cs="Times New Roman"/>
                <w:sz w:val="20"/>
                <w:szCs w:val="20"/>
              </w:rPr>
            </w:pPr>
          </w:p>
        </w:tc>
      </w:tr>
    </w:tbl>
    <w:p w:rsidR="000F4BE9" w:rsidRPr="00FA68E1" w:rsidRDefault="000F4BE9" w:rsidP="000F4BE9">
      <w:pPr>
        <w:spacing w:line="240" w:lineRule="auto"/>
        <w:rPr>
          <w:rFonts w:ascii="Times New Roman" w:hAnsi="Times New Roman" w:cs="Times New Roman"/>
        </w:rPr>
      </w:pPr>
    </w:p>
    <w:p w:rsidR="000F4BE9" w:rsidRPr="00FA68E1" w:rsidRDefault="000F4BE9" w:rsidP="000F4BE9">
      <w:pPr>
        <w:pBdr>
          <w:top w:val="nil"/>
          <w:left w:val="nil"/>
          <w:bottom w:val="nil"/>
          <w:right w:val="nil"/>
          <w:between w:val="nil"/>
        </w:pBdr>
        <w:spacing w:line="240" w:lineRule="auto"/>
        <w:rPr>
          <w:rFonts w:ascii="Times New Roman" w:hAnsi="Times New Roman" w:cs="Times New Roman"/>
          <w:color w:val="000000"/>
          <w:sz w:val="24"/>
          <w:szCs w:val="24"/>
        </w:rPr>
      </w:pPr>
    </w:p>
    <w:p w:rsidR="000F4BE9" w:rsidRPr="00FA68E1" w:rsidRDefault="000F4BE9" w:rsidP="000F4BE9">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lastRenderedPageBreak/>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F4BE9" w:rsidRPr="00FA68E1" w:rsidTr="00EF3711">
        <w:trPr>
          <w:jc w:val="center"/>
        </w:trPr>
        <w:tc>
          <w:tcPr>
            <w:tcW w:w="2420"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0F4BE9" w:rsidRPr="00FA68E1" w:rsidTr="00EF3711">
        <w:trPr>
          <w:trHeight w:val="106"/>
          <w:jc w:val="center"/>
        </w:trPr>
        <w:tc>
          <w:tcPr>
            <w:tcW w:w="2420" w:type="dxa"/>
            <w:tcMar>
              <w:top w:w="100" w:type="dxa"/>
              <w:left w:w="100" w:type="dxa"/>
              <w:bottom w:w="100" w:type="dxa"/>
              <w:right w:w="100" w:type="dxa"/>
            </w:tcMar>
          </w:tcPr>
          <w:p w:rsidR="000F4BE9" w:rsidRPr="00FA68E1" w:rsidRDefault="000F4BE9" w:rsidP="00EF3711">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32,54</w:t>
            </w:r>
          </w:p>
        </w:tc>
        <w:tc>
          <w:tcPr>
            <w:tcW w:w="4121" w:type="dxa"/>
            <w:tcMar>
              <w:top w:w="100" w:type="dxa"/>
              <w:left w:w="100" w:type="dxa"/>
              <w:bottom w:w="100" w:type="dxa"/>
              <w:right w:w="100" w:type="dxa"/>
            </w:tcMar>
          </w:tcPr>
          <w:p w:rsidR="000F4BE9" w:rsidRPr="00FA68E1" w:rsidRDefault="000F4BE9" w:rsidP="00EF3711">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0F4BE9" w:rsidRPr="00FA68E1" w:rsidTr="00EF3711">
        <w:trPr>
          <w:trHeight w:val="179"/>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0F4BE9" w:rsidRPr="00FA68E1" w:rsidRDefault="000F4BE9" w:rsidP="00EF3711">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0F4BE9" w:rsidRPr="00FA68E1" w:rsidRDefault="000F4BE9" w:rsidP="00EF3711">
            <w:pPr>
              <w:spacing w:line="240" w:lineRule="auto"/>
              <w:jc w:val="both"/>
              <w:rPr>
                <w:rFonts w:ascii="Times New Roman" w:hAnsi="Times New Roman" w:cs="Times New Roman"/>
                <w:b/>
                <w:sz w:val="20"/>
                <w:szCs w:val="20"/>
              </w:rPr>
            </w:pPr>
          </w:p>
          <w:p w:rsidR="000F4BE9" w:rsidRPr="00FA68E1" w:rsidRDefault="000F4BE9" w:rsidP="00EF3711">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0F4BE9" w:rsidRPr="00FA68E1" w:rsidTr="00EF3711">
        <w:trPr>
          <w:trHeight w:val="173"/>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0F4BE9" w:rsidRPr="00FA68E1" w:rsidRDefault="000F4BE9"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0F4BE9" w:rsidRPr="00FA68E1" w:rsidRDefault="000F4BE9"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0F4BE9" w:rsidRPr="00FA68E1" w:rsidTr="00EF3711">
        <w:trPr>
          <w:trHeight w:val="623"/>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rsidR="000F4BE9" w:rsidRPr="00FA68E1" w:rsidRDefault="000F4BE9"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0F4BE9" w:rsidRPr="00FA68E1" w:rsidTr="00EF3711">
        <w:trPr>
          <w:trHeight w:val="648"/>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0F4BE9" w:rsidRPr="00FA68E1" w:rsidRDefault="000F4BE9" w:rsidP="00EF3711">
            <w:pPr>
              <w:spacing w:line="240" w:lineRule="auto"/>
              <w:jc w:val="center"/>
              <w:rPr>
                <w:rFonts w:ascii="Times New Roman" w:hAnsi="Times New Roman" w:cs="Times New Roman"/>
                <w:sz w:val="18"/>
                <w:szCs w:val="18"/>
              </w:rPr>
            </w:pPr>
          </w:p>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0F4BE9" w:rsidRPr="00FA68E1" w:rsidRDefault="000F4BE9" w:rsidP="00EF3711">
            <w:pPr>
              <w:spacing w:line="240" w:lineRule="auto"/>
              <w:jc w:val="both"/>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0F4BE9" w:rsidRPr="00FA68E1" w:rsidRDefault="000F4BE9" w:rsidP="000F4BE9">
      <w:pPr>
        <w:pBdr>
          <w:top w:val="nil"/>
          <w:left w:val="nil"/>
          <w:bottom w:val="nil"/>
          <w:right w:val="nil"/>
          <w:between w:val="nil"/>
        </w:pBdr>
        <w:spacing w:line="240" w:lineRule="auto"/>
        <w:rPr>
          <w:rFonts w:ascii="Times New Roman" w:hAnsi="Times New Roman" w:cs="Times New Roman"/>
          <w:color w:val="000000"/>
          <w:sz w:val="24"/>
          <w:szCs w:val="24"/>
        </w:rPr>
      </w:pPr>
    </w:p>
    <w:p w:rsidR="000F4BE9" w:rsidRPr="00FA68E1" w:rsidRDefault="000F4BE9" w:rsidP="000F4BE9">
      <w:pPr>
        <w:pStyle w:val="Zkladntext"/>
        <w:widowControl w:val="0"/>
        <w:spacing w:after="120"/>
        <w:jc w:val="both"/>
        <w:rPr>
          <w:b w:val="0"/>
          <w:color w:val="000000"/>
          <w:shd w:val="clear" w:color="auto" w:fill="FFFFFF"/>
        </w:rPr>
      </w:pPr>
      <w:r w:rsidRPr="00FA68E1">
        <w:rPr>
          <w:b w:val="0"/>
          <w:color w:val="000000"/>
        </w:rPr>
        <w:t>Zlepšenie stavu biotopu</w:t>
      </w:r>
      <w:r w:rsidRPr="00FA68E1">
        <w:rPr>
          <w:color w:val="000000"/>
        </w:rPr>
        <w:t xml:space="preserve">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F4BE9" w:rsidRPr="00FA68E1" w:rsidTr="00EF3711">
        <w:trPr>
          <w:jc w:val="center"/>
        </w:trPr>
        <w:tc>
          <w:tcPr>
            <w:tcW w:w="2420"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0F4BE9" w:rsidRPr="00FA68E1" w:rsidTr="00EF3711">
        <w:trPr>
          <w:trHeight w:val="193"/>
          <w:jc w:val="center"/>
        </w:trPr>
        <w:tc>
          <w:tcPr>
            <w:tcW w:w="2420" w:type="dxa"/>
            <w:tcMar>
              <w:top w:w="100" w:type="dxa"/>
              <w:left w:w="100" w:type="dxa"/>
              <w:bottom w:w="100" w:type="dxa"/>
              <w:right w:w="100" w:type="dxa"/>
            </w:tcMar>
          </w:tcPr>
          <w:p w:rsidR="000F4BE9" w:rsidRPr="00FA68E1" w:rsidRDefault="000F4BE9" w:rsidP="00EF3711">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42,99</w:t>
            </w:r>
          </w:p>
        </w:tc>
        <w:tc>
          <w:tcPr>
            <w:tcW w:w="4121" w:type="dxa"/>
            <w:tcMar>
              <w:top w:w="100" w:type="dxa"/>
              <w:left w:w="100" w:type="dxa"/>
              <w:bottom w:w="100" w:type="dxa"/>
              <w:right w:w="100" w:type="dxa"/>
            </w:tcMar>
          </w:tcPr>
          <w:p w:rsidR="000F4BE9" w:rsidRPr="00FA68E1" w:rsidRDefault="000F4BE9" w:rsidP="00EF3711">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Min. udržanie existujúcej výmery biotopu v ÚEV. </w:t>
            </w:r>
          </w:p>
        </w:tc>
      </w:tr>
      <w:tr w:rsidR="000F4BE9" w:rsidRPr="00FA68E1" w:rsidTr="00EF3711">
        <w:trPr>
          <w:trHeight w:val="179"/>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najmenej 80 %</w:t>
            </w:r>
          </w:p>
        </w:tc>
        <w:tc>
          <w:tcPr>
            <w:tcW w:w="4121"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0F4BE9" w:rsidRPr="00FA68E1" w:rsidRDefault="000F4BE9" w:rsidP="00EF3711">
            <w:pPr>
              <w:pStyle w:val="Odsekzoznamu"/>
              <w:widowControl w:val="0"/>
              <w:tabs>
                <w:tab w:val="left" w:pos="1265"/>
              </w:tabs>
              <w:autoSpaceDE w:val="0"/>
              <w:autoSpaceDN w:val="0"/>
              <w:spacing w:line="240" w:lineRule="auto"/>
              <w:ind w:left="0"/>
              <w:jc w:val="both"/>
              <w:rPr>
                <w:rFonts w:ascii="Times New Roman" w:hAnsi="Times New Roman" w:cs="Times New Roman"/>
                <w:sz w:val="20"/>
                <w:szCs w:val="20"/>
              </w:rPr>
            </w:pP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0F4BE9" w:rsidRPr="00FA68E1" w:rsidRDefault="000F4BE9" w:rsidP="00EF3711">
            <w:pPr>
              <w:pStyle w:val="Odsekzoznamu"/>
              <w:widowControl w:val="0"/>
              <w:tabs>
                <w:tab w:val="left" w:pos="1265"/>
              </w:tabs>
              <w:autoSpaceDE w:val="0"/>
              <w:autoSpaceDN w:val="0"/>
              <w:spacing w:line="240" w:lineRule="auto"/>
              <w:ind w:left="0"/>
              <w:jc w:val="both"/>
              <w:rPr>
                <w:rFonts w:ascii="Times New Roman" w:hAnsi="Times New Roman" w:cs="Times New Roman"/>
                <w:sz w:val="20"/>
                <w:szCs w:val="20"/>
              </w:rPr>
            </w:pPr>
          </w:p>
          <w:p w:rsidR="000F4BE9" w:rsidRPr="00FA68E1" w:rsidRDefault="000F4BE9" w:rsidP="00EF3711">
            <w:pPr>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0F4BE9" w:rsidRPr="00FA68E1" w:rsidTr="00EF3711">
        <w:trPr>
          <w:trHeight w:val="173"/>
          <w:jc w:val="center"/>
        </w:trPr>
        <w:tc>
          <w:tcPr>
            <w:tcW w:w="2420" w:type="dxa"/>
            <w:tcMar>
              <w:top w:w="100" w:type="dxa"/>
              <w:left w:w="100" w:type="dxa"/>
              <w:bottom w:w="100" w:type="dxa"/>
              <w:right w:w="100" w:type="dxa"/>
            </w:tcMar>
            <w:vAlign w:val="bottom"/>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0F4BE9" w:rsidRPr="00FA68E1" w:rsidRDefault="000F4BE9"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0F4BE9" w:rsidRPr="00FA68E1" w:rsidRDefault="000F4BE9"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0F4BE9" w:rsidRPr="00FA68E1" w:rsidTr="00EF3711">
        <w:trPr>
          <w:trHeight w:val="114"/>
          <w:jc w:val="center"/>
        </w:trPr>
        <w:tc>
          <w:tcPr>
            <w:tcW w:w="2420" w:type="dxa"/>
            <w:tcMar>
              <w:top w:w="100" w:type="dxa"/>
              <w:left w:w="100" w:type="dxa"/>
              <w:bottom w:w="100" w:type="dxa"/>
              <w:right w:w="100" w:type="dxa"/>
            </w:tcMar>
            <w:vAlign w:val="bottom"/>
          </w:tcPr>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rsidR="000F4BE9" w:rsidRPr="00FA68E1" w:rsidRDefault="000F4BE9"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Minimálne zastúpenie alochtónnych/inváznych druhov bylín (</w:t>
            </w:r>
            <w:r w:rsidRPr="00FA68E1">
              <w:rPr>
                <w:rFonts w:ascii="Times New Roman" w:hAnsi="Times New Roman" w:cs="Times New Roman"/>
                <w:i/>
                <w:color w:val="000000"/>
                <w:sz w:val="18"/>
                <w:szCs w:val="18"/>
              </w:rPr>
              <w:t>Fallopia sp., Impatiens glandulifera, I. parviflora</w:t>
            </w:r>
            <w:r w:rsidRPr="00FA68E1">
              <w:rPr>
                <w:rFonts w:ascii="Times New Roman" w:hAnsi="Times New Roman" w:cs="Times New Roman"/>
                <w:color w:val="000000"/>
                <w:sz w:val="18"/>
                <w:szCs w:val="18"/>
              </w:rPr>
              <w:t>)</w:t>
            </w:r>
          </w:p>
        </w:tc>
      </w:tr>
      <w:tr w:rsidR="000F4BE9" w:rsidRPr="00FA68E1" w:rsidTr="00EF3711">
        <w:trPr>
          <w:trHeight w:val="114"/>
          <w:jc w:val="center"/>
        </w:trPr>
        <w:tc>
          <w:tcPr>
            <w:tcW w:w="2420" w:type="dxa"/>
            <w:tcMar>
              <w:top w:w="100" w:type="dxa"/>
              <w:left w:w="100" w:type="dxa"/>
              <w:bottom w:w="100" w:type="dxa"/>
              <w:right w:w="100" w:type="dxa"/>
            </w:tcMar>
            <w:vAlign w:val="bottom"/>
          </w:tcPr>
          <w:p w:rsidR="000F4BE9" w:rsidRPr="00FA68E1" w:rsidRDefault="000F4BE9"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 xml:space="preserve">Mŕtve drevo </w:t>
            </w:r>
          </w:p>
          <w:p w:rsidR="000F4BE9" w:rsidRPr="00FA68E1" w:rsidRDefault="000F4BE9"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20</w:t>
            </w:r>
          </w:p>
          <w:p w:rsidR="000F4BE9" w:rsidRPr="00FA68E1" w:rsidRDefault="000F4BE9" w:rsidP="00EF3711">
            <w:pPr>
              <w:spacing w:line="240" w:lineRule="auto"/>
              <w:jc w:val="center"/>
              <w:rPr>
                <w:rFonts w:ascii="Times New Roman" w:hAnsi="Times New Roman" w:cs="Times New Roman"/>
                <w:sz w:val="18"/>
                <w:szCs w:val="18"/>
              </w:rPr>
            </w:pPr>
          </w:p>
          <w:p w:rsidR="000F4BE9" w:rsidRPr="00FA68E1" w:rsidRDefault="000F4BE9"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r w:rsidRPr="00FA68E1">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rsidR="000F4BE9" w:rsidRPr="00FA68E1" w:rsidRDefault="000F4BE9" w:rsidP="00EF3711">
            <w:pPr>
              <w:spacing w:line="240" w:lineRule="auto"/>
              <w:jc w:val="both"/>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p w:rsidR="000F4BE9" w:rsidRPr="00FA68E1" w:rsidRDefault="000F4BE9" w:rsidP="00EF3711">
            <w:pPr>
              <w:spacing w:line="240" w:lineRule="auto"/>
              <w:rPr>
                <w:rFonts w:ascii="Times New Roman" w:hAnsi="Times New Roman" w:cs="Times New Roman"/>
                <w:sz w:val="18"/>
                <w:szCs w:val="18"/>
              </w:rPr>
            </w:pPr>
          </w:p>
        </w:tc>
      </w:tr>
    </w:tbl>
    <w:p w:rsidR="000F4BE9" w:rsidRPr="00FA68E1" w:rsidRDefault="000F4BE9" w:rsidP="000F4BE9">
      <w:pPr>
        <w:pBdr>
          <w:top w:val="nil"/>
          <w:left w:val="nil"/>
          <w:bottom w:val="nil"/>
          <w:right w:val="nil"/>
          <w:between w:val="nil"/>
        </w:pBdr>
        <w:jc w:val="both"/>
        <w:rPr>
          <w:rFonts w:ascii="Times New Roman" w:hAnsi="Times New Roman" w:cs="Times New Roman"/>
          <w:color w:val="000000"/>
        </w:rPr>
      </w:pPr>
    </w:p>
    <w:p w:rsidR="000F4BE9" w:rsidRPr="00FA68E1" w:rsidRDefault="000F4BE9" w:rsidP="000F4BE9">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0F4BE9" w:rsidRPr="00FA68E1" w:rsidTr="00EF3711">
        <w:trPr>
          <w:trHeight w:val="458"/>
          <w:jc w:val="center"/>
        </w:trPr>
        <w:tc>
          <w:tcPr>
            <w:tcW w:w="1696"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0F4BE9" w:rsidRPr="00FA68E1" w:rsidTr="00EF3711">
        <w:trPr>
          <w:trHeight w:val="86"/>
          <w:jc w:val="center"/>
        </w:trPr>
        <w:tc>
          <w:tcPr>
            <w:tcW w:w="1696"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54,33</w:t>
            </w:r>
          </w:p>
        </w:tc>
        <w:tc>
          <w:tcPr>
            <w:tcW w:w="5245"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0F4BE9" w:rsidRPr="00FA68E1" w:rsidTr="00EF3711">
        <w:trPr>
          <w:trHeight w:val="179"/>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0F4BE9" w:rsidRPr="00FA68E1" w:rsidRDefault="000F4BE9"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widowControl w:val="0"/>
              <w:tabs>
                <w:tab w:val="left" w:pos="126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0F4BE9" w:rsidRPr="00FA68E1" w:rsidRDefault="000F4BE9" w:rsidP="00EF3711">
            <w:pPr>
              <w:widowControl w:val="0"/>
              <w:tabs>
                <w:tab w:val="left" w:pos="1260"/>
              </w:tabs>
              <w:autoSpaceDE w:val="0"/>
              <w:autoSpaceDN w:val="0"/>
              <w:spacing w:line="240" w:lineRule="auto"/>
              <w:ind w:right="42"/>
              <w:jc w:val="both"/>
              <w:rPr>
                <w:rFonts w:ascii="Times New Roman" w:hAnsi="Times New Roman" w:cs="Times New Roman"/>
                <w:sz w:val="20"/>
                <w:szCs w:val="20"/>
              </w:rPr>
            </w:pPr>
          </w:p>
          <w:p w:rsidR="000F4BE9" w:rsidRPr="00FA68E1" w:rsidRDefault="000F4BE9" w:rsidP="00EF3711">
            <w:pPr>
              <w:widowControl w:val="0"/>
              <w:tabs>
                <w:tab w:val="left" w:pos="132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0F4BE9" w:rsidRPr="00FA68E1" w:rsidTr="00EF3711">
        <w:trPr>
          <w:trHeight w:val="173"/>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0F4BE9" w:rsidRPr="00FA68E1" w:rsidRDefault="000F4BE9"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0F4BE9" w:rsidRPr="00FA68E1" w:rsidRDefault="000F4BE9"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0F4BE9" w:rsidRPr="00FA68E1" w:rsidTr="00EF3711">
        <w:trPr>
          <w:trHeight w:val="114"/>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0F4BE9" w:rsidRPr="00FA68E1" w:rsidTr="00EF3711">
        <w:trPr>
          <w:trHeight w:val="565"/>
          <w:jc w:val="center"/>
        </w:trPr>
        <w:tc>
          <w:tcPr>
            <w:tcW w:w="1696"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0F4BE9" w:rsidRPr="00FA68E1" w:rsidRDefault="000F4BE9"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0F4BE9" w:rsidRPr="00FA68E1" w:rsidRDefault="000F4BE9" w:rsidP="000F4BE9">
      <w:pPr>
        <w:pStyle w:val="Zkladntext"/>
        <w:widowControl w:val="0"/>
        <w:jc w:val="left"/>
        <w:rPr>
          <w:b w:val="0"/>
          <w:color w:val="000000"/>
        </w:rPr>
      </w:pPr>
    </w:p>
    <w:p w:rsidR="000F4BE9" w:rsidRPr="00FA68E1" w:rsidRDefault="000F4BE9" w:rsidP="000F4BE9">
      <w:pPr>
        <w:pStyle w:val="Zkladntext"/>
        <w:widowControl w:val="0"/>
        <w:jc w:val="left"/>
        <w:rPr>
          <w:b w:val="0"/>
          <w:color w:val="000000"/>
        </w:rPr>
      </w:pPr>
    </w:p>
    <w:p w:rsidR="000F4BE9" w:rsidRPr="00FA68E1" w:rsidRDefault="000F4BE9" w:rsidP="000F4BE9">
      <w:pPr>
        <w:pStyle w:val="Zkladntext"/>
        <w:widowControl w:val="0"/>
        <w:jc w:val="left"/>
        <w:rPr>
          <w:b w:val="0"/>
          <w:color w:val="000000"/>
          <w:shd w:val="clear" w:color="auto" w:fill="FFFFFF"/>
        </w:rPr>
      </w:pPr>
      <w:r w:rsidRPr="00FA68E1">
        <w:rPr>
          <w:b w:val="0"/>
          <w:color w:val="000000"/>
        </w:rPr>
        <w:t>Zachovanie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0F4BE9" w:rsidRPr="00FA68E1" w:rsidTr="00EF3711">
        <w:trPr>
          <w:jc w:val="center"/>
        </w:trPr>
        <w:tc>
          <w:tcPr>
            <w:tcW w:w="2420"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0F4BE9" w:rsidRPr="00FA68E1" w:rsidRDefault="000F4BE9"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0F4BE9" w:rsidRPr="00FA68E1" w:rsidTr="00EF3711">
        <w:trPr>
          <w:trHeight w:val="825"/>
          <w:jc w:val="center"/>
        </w:trPr>
        <w:tc>
          <w:tcPr>
            <w:tcW w:w="2420"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0F4BE9" w:rsidRPr="00FA68E1" w:rsidRDefault="000F4BE9"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0F4BE9" w:rsidRPr="00FA68E1" w:rsidRDefault="000F4BE9"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198,5 ha</w:t>
            </w:r>
          </w:p>
        </w:tc>
        <w:tc>
          <w:tcPr>
            <w:tcW w:w="4121" w:type="dxa"/>
            <w:tcMar>
              <w:top w:w="100" w:type="dxa"/>
              <w:left w:w="100" w:type="dxa"/>
              <w:bottom w:w="100" w:type="dxa"/>
              <w:right w:w="100" w:type="dxa"/>
            </w:tcMar>
            <w:vAlign w:val="center"/>
          </w:tcPr>
          <w:p w:rsidR="000F4BE9" w:rsidRPr="00FA68E1" w:rsidRDefault="000F4BE9"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0F4BE9" w:rsidRPr="00FA68E1" w:rsidTr="00EF3711">
        <w:trPr>
          <w:trHeight w:val="179"/>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0F4BE9" w:rsidRPr="00FA68E1" w:rsidRDefault="000F4BE9"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0F4BE9" w:rsidRPr="00FA68E1" w:rsidRDefault="000F4BE9"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0F4BE9" w:rsidRPr="00FA68E1" w:rsidRDefault="000F4BE9" w:rsidP="00EF3711">
            <w:pPr>
              <w:autoSpaceDE w:val="0"/>
              <w:autoSpaceDN w:val="0"/>
              <w:adjustRightInd w:val="0"/>
              <w:jc w:val="both"/>
              <w:rPr>
                <w:rFonts w:ascii="Times New Roman" w:hAnsi="Times New Roman" w:cs="Times New Roman"/>
                <w:sz w:val="20"/>
                <w:szCs w:val="20"/>
              </w:rPr>
            </w:pPr>
          </w:p>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0F4BE9" w:rsidRPr="00FA68E1" w:rsidTr="00EF3711">
        <w:trPr>
          <w:trHeight w:val="173"/>
          <w:jc w:val="center"/>
        </w:trPr>
        <w:tc>
          <w:tcPr>
            <w:tcW w:w="2420" w:type="dxa"/>
            <w:tcMar>
              <w:top w:w="100" w:type="dxa"/>
              <w:left w:w="100" w:type="dxa"/>
              <w:bottom w:w="100" w:type="dxa"/>
              <w:right w:w="100" w:type="dxa"/>
            </w:tcMa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0F4BE9" w:rsidRPr="00FA68E1" w:rsidRDefault="000F4BE9"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0F4BE9" w:rsidRPr="00FA68E1" w:rsidRDefault="000F4BE9" w:rsidP="00EF3711">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0F4BE9" w:rsidRPr="00FA68E1" w:rsidTr="00EF3711">
        <w:trPr>
          <w:trHeight w:val="114"/>
          <w:jc w:val="center"/>
        </w:trPr>
        <w:tc>
          <w:tcPr>
            <w:tcW w:w="2420"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0F4BE9" w:rsidRPr="00FA68E1" w:rsidRDefault="000F4BE9"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0F4BE9" w:rsidRPr="00FA68E1" w:rsidTr="00EF3711">
        <w:trPr>
          <w:trHeight w:val="114"/>
          <w:jc w:val="center"/>
        </w:trPr>
        <w:tc>
          <w:tcPr>
            <w:tcW w:w="2420" w:type="dxa"/>
            <w:tcMar>
              <w:top w:w="100" w:type="dxa"/>
              <w:left w:w="100" w:type="dxa"/>
              <w:bottom w:w="100" w:type="dxa"/>
              <w:right w:w="100" w:type="dxa"/>
            </w:tcMar>
            <w:vAlign w:val="center"/>
          </w:tcPr>
          <w:p w:rsidR="000F4BE9" w:rsidRPr="00FA68E1" w:rsidRDefault="000F4BE9"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0F4BE9" w:rsidRPr="00FA68E1" w:rsidRDefault="000F4BE9"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0F4BE9" w:rsidRPr="00FA68E1" w:rsidRDefault="000F4BE9"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rsidR="000F4BE9" w:rsidRPr="00FA68E1" w:rsidRDefault="000F4BE9"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0F4BE9" w:rsidRPr="00FA68E1" w:rsidRDefault="000F4BE9" w:rsidP="00EF3711">
            <w:pPr>
              <w:spacing w:line="240" w:lineRule="auto"/>
              <w:jc w:val="center"/>
              <w:rPr>
                <w:rFonts w:ascii="Times New Roman" w:hAnsi="Times New Roman" w:cs="Times New Roman"/>
                <w:sz w:val="20"/>
                <w:szCs w:val="20"/>
              </w:rPr>
            </w:pPr>
          </w:p>
          <w:p w:rsidR="000F4BE9" w:rsidRPr="00FA68E1" w:rsidRDefault="000F4BE9"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rsidR="000F4BE9" w:rsidRPr="00FA68E1" w:rsidRDefault="000F4BE9"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702"/>
        <w:gridCol w:w="1276"/>
        <w:gridCol w:w="1275"/>
        <w:gridCol w:w="5387"/>
      </w:tblGrid>
      <w:tr w:rsidR="000F4BE9"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5"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0F4BE9" w:rsidRPr="00FA68E1" w:rsidTr="00EF3711">
        <w:trPr>
          <w:trHeight w:val="239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7"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0F4BE9"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0F4BE9"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7"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0F4BE9" w:rsidRPr="00FA68E1" w:rsidRDefault="000F4BE9" w:rsidP="000F4BE9">
      <w:pPr>
        <w:rPr>
          <w:rFonts w:ascii="Times New Roman" w:hAnsi="Times New Roman" w:cs="Times New Roman"/>
          <w:sz w:val="20"/>
          <w:szCs w:val="20"/>
        </w:rPr>
      </w:pPr>
    </w:p>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275"/>
        <w:gridCol w:w="5387"/>
      </w:tblGrid>
      <w:tr w:rsidR="000F4BE9" w:rsidRPr="00FA68E1" w:rsidTr="00EF3711">
        <w:trPr>
          <w:trHeight w:val="305"/>
        </w:trPr>
        <w:tc>
          <w:tcPr>
            <w:tcW w:w="1702" w:type="dxa"/>
            <w:shd w:val="clear" w:color="auto" w:fill="FFFFFF"/>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5" w:type="dxa"/>
            <w:shd w:val="clear" w:color="auto" w:fill="FFFFFF"/>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87" w:type="dxa"/>
            <w:shd w:val="clear" w:color="auto" w:fill="FFFFFF"/>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5,8</w:t>
            </w:r>
          </w:p>
        </w:tc>
        <w:tc>
          <w:tcPr>
            <w:tcW w:w="5387"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Udržať výmeru biotopu.</w:t>
            </w:r>
          </w:p>
        </w:tc>
      </w:tr>
      <w:tr w:rsidR="000F4BE9" w:rsidRPr="00FA68E1" w:rsidTr="00EF3711">
        <w:trPr>
          <w:trHeight w:val="290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5387"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0F4BE9" w:rsidRPr="00FA68E1" w:rsidTr="00EF3711">
        <w:trPr>
          <w:trHeight w:val="29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5387"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0F4BE9" w:rsidRPr="00FA68E1" w:rsidTr="00EF3711">
        <w:trPr>
          <w:trHeight w:val="85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5387"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0F4BE9" w:rsidRPr="00FA68E1" w:rsidRDefault="000F4BE9" w:rsidP="000F4BE9">
      <w:pPr>
        <w:spacing w:line="240" w:lineRule="auto"/>
        <w:rPr>
          <w:rFonts w:ascii="Times New Roman" w:hAnsi="Times New Roman" w:cs="Times New Roman"/>
          <w:color w:val="000000"/>
          <w:sz w:val="20"/>
          <w:szCs w:val="20"/>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275"/>
        <w:gridCol w:w="5338"/>
      </w:tblGrid>
      <w:tr w:rsidR="000F4BE9" w:rsidRPr="00FA68E1" w:rsidTr="00EF3711">
        <w:trPr>
          <w:trHeight w:val="705"/>
        </w:trPr>
        <w:tc>
          <w:tcPr>
            <w:tcW w:w="1657"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5"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8"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65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5"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27,66</w:t>
            </w:r>
          </w:p>
        </w:tc>
        <w:tc>
          <w:tcPr>
            <w:tcW w:w="5338"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0F4BE9" w:rsidRPr="00FA68E1" w:rsidTr="00EF3711">
        <w:trPr>
          <w:trHeight w:val="563"/>
        </w:trPr>
        <w:tc>
          <w:tcPr>
            <w:tcW w:w="165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338"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0F4BE9" w:rsidRPr="00FA68E1" w:rsidTr="00EF3711">
        <w:trPr>
          <w:trHeight w:val="290"/>
        </w:trPr>
        <w:tc>
          <w:tcPr>
            <w:tcW w:w="165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338"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0F4BE9" w:rsidRPr="00FA68E1" w:rsidTr="00EF3711">
        <w:trPr>
          <w:trHeight w:val="404"/>
        </w:trPr>
        <w:tc>
          <w:tcPr>
            <w:tcW w:w="165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338"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02"/>
        <w:gridCol w:w="1276"/>
        <w:gridCol w:w="1275"/>
        <w:gridCol w:w="5389"/>
      </w:tblGrid>
      <w:tr w:rsidR="000F4BE9"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5"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389" w:type="dxa"/>
            <w:tcBorders>
              <w:top w:val="single" w:sz="4" w:space="0" w:color="auto"/>
              <w:left w:val="nil"/>
              <w:bottom w:val="single" w:sz="4" w:space="0" w:color="auto"/>
              <w:right w:val="single" w:sz="4" w:space="0" w:color="auto"/>
            </w:tcBorders>
            <w:shd w:val="clear" w:color="auto" w:fill="auto"/>
          </w:tcPr>
          <w:p w:rsidR="000F4BE9" w:rsidRPr="00FA68E1" w:rsidRDefault="000F4BE9"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5" w:type="dxa"/>
            <w:tcBorders>
              <w:top w:val="single" w:sz="4" w:space="0" w:color="auto"/>
              <w:left w:val="nil"/>
              <w:bottom w:val="single" w:sz="4" w:space="0" w:color="auto"/>
              <w:right w:val="single" w:sz="4" w:space="0" w:color="auto"/>
            </w:tcBorders>
            <w:shd w:val="clear" w:color="auto" w:fill="auto"/>
            <w:vAlign w:val="bottom"/>
          </w:tcPr>
          <w:p w:rsidR="000F4BE9" w:rsidRPr="00FA68E1" w:rsidRDefault="000F4BE9"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4,67</w:t>
            </w:r>
          </w:p>
        </w:tc>
        <w:tc>
          <w:tcPr>
            <w:tcW w:w="5389" w:type="dxa"/>
            <w:tcBorders>
              <w:top w:val="single" w:sz="4" w:space="0" w:color="auto"/>
              <w:left w:val="nil"/>
              <w:bottom w:val="single" w:sz="4" w:space="0" w:color="auto"/>
              <w:right w:val="single" w:sz="4" w:space="0" w:color="auto"/>
            </w:tcBorders>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Udržať výmeru biotopu </w:t>
            </w:r>
          </w:p>
        </w:tc>
      </w:tr>
      <w:tr w:rsidR="000F4BE9" w:rsidRPr="00FA68E1" w:rsidTr="00EF3711">
        <w:trPr>
          <w:trHeight w:val="41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389"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0F4BE9"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389"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0F4BE9"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275"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389"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0F4BE9" w:rsidRPr="00FA68E1" w:rsidRDefault="000F4BE9" w:rsidP="000F4BE9">
      <w:pPr>
        <w:rPr>
          <w:rFonts w:ascii="Times New Roman" w:hAnsi="Times New Roman" w:cs="Times New Roman"/>
          <w:sz w:val="20"/>
          <w:szCs w:val="20"/>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p w:rsidR="000F4BE9" w:rsidRPr="00FA68E1" w:rsidRDefault="000F4BE9" w:rsidP="000F4BE9">
      <w:pPr>
        <w:rPr>
          <w:rFonts w:ascii="Times New Roman" w:hAnsi="Times New Roman" w:cs="Times New Roman"/>
          <w:sz w:val="20"/>
          <w:szCs w:val="20"/>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275"/>
        <w:gridCol w:w="5389"/>
      </w:tblGrid>
      <w:tr w:rsidR="000F4BE9" w:rsidRPr="00FA68E1" w:rsidTr="00EF3711">
        <w:trPr>
          <w:trHeight w:val="705"/>
        </w:trPr>
        <w:tc>
          <w:tcPr>
            <w:tcW w:w="1702" w:type="dxa"/>
            <w:shd w:val="clear" w:color="auto" w:fill="FFFFFF"/>
            <w:hideMark/>
          </w:tcPr>
          <w:p w:rsidR="000F4BE9" w:rsidRPr="00FA68E1" w:rsidRDefault="000F4BE9"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0F4BE9" w:rsidRPr="00FA68E1" w:rsidRDefault="000F4BE9"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5" w:type="dxa"/>
            <w:shd w:val="clear" w:color="auto" w:fill="FFFFFF"/>
            <w:hideMark/>
          </w:tcPr>
          <w:p w:rsidR="000F4BE9" w:rsidRPr="00FA68E1" w:rsidRDefault="000F4BE9"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388" w:type="dxa"/>
            <w:shd w:val="clear" w:color="auto" w:fill="FFFFFF"/>
            <w:hideMark/>
          </w:tcPr>
          <w:p w:rsidR="000F4BE9" w:rsidRPr="00FA68E1" w:rsidRDefault="000F4BE9"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shd w:val="clear" w:color="auto" w:fill="FFFFFF"/>
            <w:vAlign w:val="bottom"/>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bottom"/>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5" w:type="dxa"/>
            <w:shd w:val="clear" w:color="auto" w:fill="FFFFFF"/>
            <w:vAlign w:val="bottom"/>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44,5</w:t>
            </w:r>
          </w:p>
        </w:tc>
        <w:tc>
          <w:tcPr>
            <w:tcW w:w="5388" w:type="dxa"/>
            <w:shd w:val="clear" w:color="auto" w:fill="FFFFFF"/>
            <w:vAlign w:val="bottom"/>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súčasnej výmery biotopu</w:t>
            </w:r>
          </w:p>
        </w:tc>
      </w:tr>
      <w:tr w:rsidR="000F4BE9" w:rsidRPr="00FA68E1" w:rsidTr="00EF3711">
        <w:trPr>
          <w:trHeight w:val="699"/>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388"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0F4BE9" w:rsidRPr="00FA68E1" w:rsidTr="00EF3711">
        <w:trPr>
          <w:trHeight w:val="29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388"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0F4BE9" w:rsidRPr="00FA68E1" w:rsidTr="00EF3711">
        <w:trPr>
          <w:trHeight w:val="850"/>
        </w:trPr>
        <w:tc>
          <w:tcPr>
            <w:tcW w:w="1702"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5"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388" w:type="dxa"/>
            <w:shd w:val="clear" w:color="auto" w:fill="FFFFFF"/>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0F4BE9" w:rsidRPr="00FA68E1" w:rsidRDefault="000F4BE9" w:rsidP="000F4BE9">
      <w:pPr>
        <w:rPr>
          <w:rFonts w:ascii="Times New Roman" w:hAnsi="Times New Roman" w:cs="Times New Roman"/>
          <w:sz w:val="20"/>
          <w:szCs w:val="20"/>
        </w:rPr>
      </w:pPr>
    </w:p>
    <w:p w:rsidR="000F4BE9" w:rsidRPr="00FA68E1" w:rsidRDefault="000F4BE9" w:rsidP="000F4BE9">
      <w:pPr>
        <w:spacing w:line="240" w:lineRule="auto"/>
        <w:jc w:val="both"/>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Kr2 (5130) Porasty borievky obyčajnej</w:t>
      </w:r>
      <w:r w:rsidRPr="00FA68E1">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275"/>
        <w:gridCol w:w="5387"/>
      </w:tblGrid>
      <w:tr w:rsidR="000F4BE9" w:rsidRPr="00FA68E1" w:rsidTr="00EF3711">
        <w:trPr>
          <w:trHeight w:val="705"/>
        </w:trPr>
        <w:tc>
          <w:tcPr>
            <w:tcW w:w="1702" w:type="dxa"/>
            <w:shd w:val="clear" w:color="auto" w:fill="auto"/>
            <w:hideMark/>
          </w:tcPr>
          <w:p w:rsidR="000F4BE9" w:rsidRPr="00FA68E1" w:rsidRDefault="000F4BE9"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0F4BE9" w:rsidRPr="00FA68E1" w:rsidRDefault="000F4BE9"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5" w:type="dxa"/>
            <w:shd w:val="clear" w:color="auto" w:fill="auto"/>
            <w:hideMark/>
          </w:tcPr>
          <w:p w:rsidR="000F4BE9" w:rsidRPr="00FA68E1" w:rsidRDefault="000F4BE9" w:rsidP="00EF3711">
            <w:pPr>
              <w:spacing w:line="240" w:lineRule="auto"/>
              <w:jc w:val="center"/>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5387" w:type="dxa"/>
            <w:shd w:val="clear" w:color="auto" w:fill="auto"/>
            <w:hideMark/>
          </w:tcPr>
          <w:p w:rsidR="000F4BE9" w:rsidRPr="00FA68E1" w:rsidRDefault="000F4BE9"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t>Výmera biotopu</w:t>
            </w:r>
          </w:p>
        </w:tc>
        <w:tc>
          <w:tcPr>
            <w:tcW w:w="1276" w:type="dxa"/>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1275" w:type="dxa"/>
            <w:shd w:val="clear" w:color="auto" w:fill="auto"/>
            <w:vAlign w:val="bottom"/>
            <w:hideMark/>
          </w:tcPr>
          <w:p w:rsidR="000F4BE9" w:rsidRPr="00FA68E1" w:rsidRDefault="000F4BE9"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5,3 </w:t>
            </w:r>
          </w:p>
        </w:tc>
        <w:tc>
          <w:tcPr>
            <w:tcW w:w="5387" w:type="dxa"/>
            <w:shd w:val="clear" w:color="auto" w:fill="auto"/>
            <w:vAlign w:val="bottom"/>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Udržať výmeru biotopu </w:t>
            </w:r>
          </w:p>
        </w:tc>
      </w:tr>
      <w:tr w:rsidR="000F4BE9" w:rsidRPr="00FA68E1" w:rsidTr="00EF3711">
        <w:trPr>
          <w:trHeight w:val="2320"/>
        </w:trPr>
        <w:tc>
          <w:tcPr>
            <w:tcW w:w="1702"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10 druhov</w:t>
            </w:r>
          </w:p>
        </w:tc>
        <w:tc>
          <w:tcPr>
            <w:tcW w:w="538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Sanguisorba minor, Scabiosa ochroleuca, Teucrium chamaedrys</w:t>
            </w:r>
          </w:p>
        </w:tc>
      </w:tr>
      <w:tr w:rsidR="000F4BE9" w:rsidRPr="00FA68E1" w:rsidTr="00EF3711">
        <w:trPr>
          <w:trHeight w:val="870"/>
        </w:trPr>
        <w:tc>
          <w:tcPr>
            <w:tcW w:w="1702"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30 – 70 %</w:t>
            </w:r>
          </w:p>
        </w:tc>
        <w:tc>
          <w:tcPr>
            <w:tcW w:w="538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0F4BE9" w:rsidRPr="00FA68E1" w:rsidTr="00EF3711">
        <w:trPr>
          <w:trHeight w:val="850"/>
        </w:trPr>
        <w:tc>
          <w:tcPr>
            <w:tcW w:w="1702"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1 %</w:t>
            </w:r>
          </w:p>
        </w:tc>
        <w:tc>
          <w:tcPr>
            <w:tcW w:w="538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p w:rsidR="000F4BE9" w:rsidRPr="00FA68E1" w:rsidRDefault="000F4BE9" w:rsidP="000F4BE9">
      <w:pPr>
        <w:spacing w:line="240" w:lineRule="auto"/>
        <w:rPr>
          <w:rFonts w:ascii="Times New Roman" w:hAnsi="Times New Roman" w:cs="Times New Roman"/>
          <w:color w:val="00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0F4BE9" w:rsidRPr="00FA68E1" w:rsidTr="00EF3711">
        <w:trPr>
          <w:trHeight w:val="482"/>
        </w:trPr>
        <w:tc>
          <w:tcPr>
            <w:tcW w:w="1702"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0,8</w:t>
            </w:r>
          </w:p>
        </w:tc>
        <w:tc>
          <w:tcPr>
            <w:tcW w:w="524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(zvýšiť) výmeru biotopu. </w:t>
            </w:r>
          </w:p>
        </w:tc>
      </w:tr>
      <w:tr w:rsidR="000F4BE9" w:rsidRPr="00FA68E1" w:rsidTr="00EF3711">
        <w:trPr>
          <w:trHeight w:val="290"/>
        </w:trPr>
        <w:tc>
          <w:tcPr>
            <w:tcW w:w="1702"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5245"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0F4BE9" w:rsidRPr="00FA68E1" w:rsidTr="00EF3711">
        <w:trPr>
          <w:trHeight w:val="290"/>
        </w:trPr>
        <w:tc>
          <w:tcPr>
            <w:tcW w:w="1702"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0F4BE9" w:rsidRPr="00FA68E1" w:rsidTr="00EF3711">
        <w:trPr>
          <w:trHeight w:val="290"/>
        </w:trPr>
        <w:tc>
          <w:tcPr>
            <w:tcW w:w="1702"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5"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0F4BE9" w:rsidRPr="00FA68E1" w:rsidRDefault="000F4BE9" w:rsidP="000F4BE9">
      <w:pPr>
        <w:spacing w:line="240" w:lineRule="auto"/>
        <w:rPr>
          <w:rFonts w:ascii="Times New Roman" w:eastAsia="Times New Roman" w:hAnsi="Times New Roman" w:cs="Times New Roman"/>
          <w:sz w:val="20"/>
          <w:szCs w:val="20"/>
          <w:lang w:eastAsia="sk-SK"/>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0F4BE9" w:rsidRPr="00FA68E1" w:rsidTr="00EF3711">
        <w:trPr>
          <w:trHeight w:val="448"/>
        </w:trPr>
        <w:tc>
          <w:tcPr>
            <w:tcW w:w="1702"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0F4BE9" w:rsidRPr="00FA68E1" w:rsidRDefault="000F4BE9"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90"/>
        </w:trPr>
        <w:tc>
          <w:tcPr>
            <w:tcW w:w="1702"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p>
        </w:tc>
        <w:tc>
          <w:tcPr>
            <w:tcW w:w="5245" w:type="dxa"/>
            <w:shd w:val="clear" w:color="auto" w:fill="auto"/>
            <w:vAlign w:val="center"/>
            <w:hideMark/>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0F4BE9" w:rsidRPr="00FA68E1" w:rsidTr="00EF3711">
        <w:trPr>
          <w:trHeight w:val="290"/>
        </w:trPr>
        <w:tc>
          <w:tcPr>
            <w:tcW w:w="1702"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5245" w:type="dxa"/>
            <w:shd w:val="clear" w:color="auto" w:fill="auto"/>
            <w:vAlign w:val="center"/>
          </w:tcPr>
          <w:p w:rsidR="000F4BE9" w:rsidRPr="00FA68E1" w:rsidRDefault="000F4BE9"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pStyle w:val="Zkladntext"/>
        <w:widowControl w:val="0"/>
        <w:jc w:val="left"/>
        <w:rPr>
          <w:b w:val="0"/>
        </w:rPr>
      </w:pPr>
    </w:p>
    <w:p w:rsidR="000F4BE9" w:rsidRPr="00FA68E1" w:rsidRDefault="000F4BE9" w:rsidP="000F4BE9">
      <w:pPr>
        <w:pStyle w:val="Zkladntext"/>
        <w:widowControl w:val="0"/>
        <w:jc w:val="left"/>
        <w:rPr>
          <w:b w:val="0"/>
        </w:rPr>
      </w:pPr>
    </w:p>
    <w:p w:rsidR="000F4BE9" w:rsidRPr="00FA68E1" w:rsidRDefault="000F4BE9" w:rsidP="000F4BE9">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p w:rsidR="000F4BE9" w:rsidRPr="00FA68E1" w:rsidRDefault="000F4BE9" w:rsidP="000F4BE9">
      <w:pPr>
        <w:rPr>
          <w:rFonts w:ascii="Times New Roman" w:hAnsi="Times New Roman" w:cs="Times New Roman"/>
        </w:rPr>
      </w:pPr>
    </w:p>
    <w:tbl>
      <w:tblPr>
        <w:tblW w:w="5344" w:type="pct"/>
        <w:tblInd w:w="-244" w:type="dxa"/>
        <w:tblCellMar>
          <w:left w:w="70" w:type="dxa"/>
          <w:right w:w="70" w:type="dxa"/>
        </w:tblCellMar>
        <w:tblLook w:val="00A0" w:firstRow="1" w:lastRow="0" w:firstColumn="1" w:lastColumn="0" w:noHBand="0" w:noVBand="0"/>
      </w:tblPr>
      <w:tblGrid>
        <w:gridCol w:w="1547"/>
        <w:gridCol w:w="1483"/>
        <w:gridCol w:w="1320"/>
        <w:gridCol w:w="5335"/>
      </w:tblGrid>
      <w:tr w:rsidR="000F4BE9" w:rsidRPr="00FA68E1" w:rsidTr="00EF3711">
        <w:trPr>
          <w:trHeight w:val="355"/>
        </w:trPr>
        <w:tc>
          <w:tcPr>
            <w:tcW w:w="1547" w:type="dxa"/>
            <w:tcBorders>
              <w:top w:val="single" w:sz="4" w:space="0" w:color="auto"/>
              <w:left w:val="single" w:sz="4" w:space="0" w:color="auto"/>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20"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20"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w:t>
            </w:r>
          </w:p>
        </w:tc>
        <w:tc>
          <w:tcPr>
            <w:tcW w:w="533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250 až 1000 jedincov. </w:t>
            </w:r>
          </w:p>
        </w:tc>
      </w:tr>
      <w:tr w:rsidR="000F4BE9" w:rsidRPr="00FA68E1" w:rsidTr="00EF3711">
        <w:trPr>
          <w:trHeight w:val="285"/>
        </w:trPr>
        <w:tc>
          <w:tcPr>
            <w:tcW w:w="1547"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20"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533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0F4BE9" w:rsidRPr="00FA68E1" w:rsidTr="00EF3711">
        <w:trPr>
          <w:trHeight w:val="930"/>
        </w:trPr>
        <w:tc>
          <w:tcPr>
            <w:tcW w:w="1547"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320"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5334"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0F4BE9"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320"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0F4BE9"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320"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0F4BE9" w:rsidRPr="00FA68E1" w:rsidRDefault="000F4BE9" w:rsidP="000F4BE9">
      <w:pPr>
        <w:rPr>
          <w:rFonts w:ascii="Times New Roman" w:hAnsi="Times New Roman" w:cs="Times New Roman"/>
        </w:rPr>
      </w:pPr>
    </w:p>
    <w:p w:rsidR="000F4BE9" w:rsidRPr="00FA68E1" w:rsidRDefault="000F4BE9" w:rsidP="000F4BE9">
      <w:pPr>
        <w:pStyle w:val="Zkladntext"/>
        <w:widowControl w:val="0"/>
        <w:jc w:val="left"/>
      </w:pPr>
      <w:r w:rsidRPr="00FA68E1">
        <w:rPr>
          <w:b w:val="0"/>
        </w:rPr>
        <w:t xml:space="preserve">Zlepšenie stavu druhu </w:t>
      </w:r>
      <w:r w:rsidRPr="00FA68E1">
        <w:rPr>
          <w:i/>
        </w:rPr>
        <w:t xml:space="preserve">Iris aphylla ssp. hungarica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6"/>
        <w:gridCol w:w="1461"/>
        <w:gridCol w:w="1303"/>
        <w:gridCol w:w="5335"/>
      </w:tblGrid>
      <w:tr w:rsidR="000F4BE9" w:rsidRPr="00FA68E1" w:rsidTr="00EF3711">
        <w:trPr>
          <w:trHeight w:val="355"/>
        </w:trPr>
        <w:tc>
          <w:tcPr>
            <w:tcW w:w="1586" w:type="dxa"/>
            <w:tcBorders>
              <w:top w:val="single" w:sz="4" w:space="0" w:color="auto"/>
              <w:left w:val="single" w:sz="4" w:space="0" w:color="auto"/>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1"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03"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74"/>
        </w:trPr>
        <w:tc>
          <w:tcPr>
            <w:tcW w:w="1586"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6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03"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33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Zvýšenie početnosti populácie druhu, v súčasnosti len 20 až 50 jedincov.</w:t>
            </w:r>
          </w:p>
        </w:tc>
      </w:tr>
      <w:tr w:rsidR="000F4BE9" w:rsidRPr="00FA68E1" w:rsidTr="00EF3711">
        <w:trPr>
          <w:trHeight w:val="225"/>
        </w:trPr>
        <w:tc>
          <w:tcPr>
            <w:tcW w:w="1586"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1"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03"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w:t>
            </w:r>
          </w:p>
        </w:tc>
        <w:tc>
          <w:tcPr>
            <w:tcW w:w="533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0F4BE9" w:rsidRPr="00FA68E1" w:rsidTr="00EF3711">
        <w:trPr>
          <w:trHeight w:val="225"/>
        </w:trPr>
        <w:tc>
          <w:tcPr>
            <w:tcW w:w="1586" w:type="dxa"/>
            <w:tcBorders>
              <w:top w:val="nil"/>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1"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303"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5334"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0F4BE9" w:rsidRPr="00FA68E1" w:rsidTr="00EF3711">
        <w:trPr>
          <w:trHeight w:val="930"/>
        </w:trPr>
        <w:tc>
          <w:tcPr>
            <w:tcW w:w="1586"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1"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303"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0F4BE9" w:rsidRPr="00FA68E1" w:rsidTr="00EF3711">
        <w:trPr>
          <w:trHeight w:val="930"/>
        </w:trPr>
        <w:tc>
          <w:tcPr>
            <w:tcW w:w="1586" w:type="dxa"/>
            <w:tcBorders>
              <w:top w:val="single" w:sz="4" w:space="0" w:color="auto"/>
              <w:left w:val="single" w:sz="4" w:space="0" w:color="auto"/>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Zastúpenie alochtónnych druhov/inváznych druhov drevín</w:t>
            </w:r>
          </w:p>
        </w:tc>
        <w:tc>
          <w:tcPr>
            <w:tcW w:w="1461" w:type="dxa"/>
            <w:tcBorders>
              <w:top w:val="single" w:sz="4" w:space="0" w:color="auto"/>
              <w:left w:val="nil"/>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Percento  (%) pokrytia / ha</w:t>
            </w:r>
          </w:p>
        </w:tc>
        <w:tc>
          <w:tcPr>
            <w:tcW w:w="1303" w:type="dxa"/>
            <w:tcBorders>
              <w:top w:val="single" w:sz="4" w:space="0" w:color="auto"/>
              <w:left w:val="nil"/>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0 %</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0F4BE9" w:rsidRPr="00FA68E1" w:rsidRDefault="000F4BE9" w:rsidP="000F4BE9">
      <w:pPr>
        <w:pStyle w:val="Zkladntext"/>
        <w:widowControl w:val="0"/>
        <w:jc w:val="left"/>
        <w:rPr>
          <w:b w:val="0"/>
        </w:rPr>
      </w:pPr>
    </w:p>
    <w:p w:rsidR="000F4BE9" w:rsidRPr="00FA68E1" w:rsidRDefault="000F4BE9" w:rsidP="000F4BE9">
      <w:pPr>
        <w:pStyle w:val="Zkladntext"/>
        <w:widowControl w:val="0"/>
        <w:jc w:val="left"/>
      </w:pPr>
      <w:r w:rsidRPr="00FA68E1">
        <w:rPr>
          <w:b w:val="0"/>
        </w:rPr>
        <w:t xml:space="preserve">Zachovanie stavu druhu </w:t>
      </w:r>
      <w:r w:rsidRPr="00FA68E1">
        <w:rPr>
          <w:i/>
        </w:rPr>
        <w:t xml:space="preserve">Thlaspi jankae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9"/>
        <w:gridCol w:w="1464"/>
        <w:gridCol w:w="1347"/>
        <w:gridCol w:w="5335"/>
      </w:tblGrid>
      <w:tr w:rsidR="000F4BE9" w:rsidRPr="00FA68E1" w:rsidTr="00EF3711">
        <w:trPr>
          <w:trHeight w:val="355"/>
        </w:trPr>
        <w:tc>
          <w:tcPr>
            <w:tcW w:w="1539" w:type="dxa"/>
            <w:tcBorders>
              <w:top w:val="single" w:sz="4" w:space="0" w:color="auto"/>
              <w:left w:val="single" w:sz="4" w:space="0" w:color="auto"/>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47"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74"/>
        </w:trPr>
        <w:tc>
          <w:tcPr>
            <w:tcW w:w="1539"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6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47"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Min.4000</w:t>
            </w:r>
          </w:p>
        </w:tc>
        <w:tc>
          <w:tcPr>
            <w:tcW w:w="533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4 000 až 10000 jedincov</w:t>
            </w:r>
          </w:p>
        </w:tc>
      </w:tr>
      <w:tr w:rsidR="000F4BE9" w:rsidRPr="00FA68E1" w:rsidTr="00EF3711">
        <w:trPr>
          <w:trHeight w:val="285"/>
        </w:trPr>
        <w:tc>
          <w:tcPr>
            <w:tcW w:w="1539"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47"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533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0F4BE9" w:rsidRPr="00FA68E1" w:rsidTr="00EF3711">
        <w:trPr>
          <w:trHeight w:val="930"/>
        </w:trPr>
        <w:tc>
          <w:tcPr>
            <w:tcW w:w="1539"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6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347"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5334"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Allium flavum, Arenaria serpyllifolia, Asperula cynanchica, Bothriochloa ischaemum, Brachypodium pinnatum, Carex humilis, Eryngium campestre, Festuca valesiaca, Festuca rupicola, Koeleria macrantha, Melica ciliata, Potentilla arenaria, Salvia pratensis, Seseli osseum, Stachys recta, Teucrium chamaedrys, Teucrium montanum, Tithymalus cyparissias, Verbascum lychnitis</w:t>
            </w:r>
          </w:p>
        </w:tc>
      </w:tr>
      <w:tr w:rsidR="000F4BE9" w:rsidRPr="00FA68E1" w:rsidTr="00EF3711">
        <w:trPr>
          <w:trHeight w:val="237"/>
        </w:trPr>
        <w:tc>
          <w:tcPr>
            <w:tcW w:w="1539"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6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347"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0F4BE9" w:rsidRPr="00FA68E1" w:rsidTr="00EF3711">
        <w:trPr>
          <w:trHeight w:val="237"/>
        </w:trPr>
        <w:tc>
          <w:tcPr>
            <w:tcW w:w="1539" w:type="dxa"/>
            <w:tcBorders>
              <w:top w:val="single" w:sz="4" w:space="0" w:color="auto"/>
              <w:left w:val="single" w:sz="4" w:space="0" w:color="auto"/>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64" w:type="dxa"/>
            <w:tcBorders>
              <w:top w:val="single" w:sz="4" w:space="0" w:color="auto"/>
              <w:left w:val="nil"/>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347" w:type="dxa"/>
            <w:tcBorders>
              <w:top w:val="single" w:sz="4" w:space="0" w:color="auto"/>
              <w:left w:val="nil"/>
              <w:bottom w:val="single" w:sz="4" w:space="0" w:color="auto"/>
              <w:right w:val="single" w:sz="4" w:space="0" w:color="auto"/>
            </w:tcBorders>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0F4BE9" w:rsidRPr="00FA68E1" w:rsidRDefault="000F4BE9" w:rsidP="000F4BE9">
      <w:pPr>
        <w:pStyle w:val="Zkladntext"/>
        <w:widowControl w:val="0"/>
        <w:jc w:val="left"/>
        <w:rPr>
          <w:b w:val="0"/>
        </w:rPr>
      </w:pPr>
    </w:p>
    <w:p w:rsidR="000F4BE9" w:rsidRPr="00FA68E1" w:rsidRDefault="000F4BE9" w:rsidP="000F4BE9">
      <w:pPr>
        <w:rPr>
          <w:rFonts w:ascii="Times New Roman" w:hAnsi="Times New Roman" w:cs="Times New Roman"/>
          <w:sz w:val="24"/>
          <w:szCs w:val="24"/>
        </w:rPr>
      </w:pPr>
    </w:p>
    <w:p w:rsidR="000F4BE9" w:rsidRPr="00FA68E1" w:rsidRDefault="000F4BE9" w:rsidP="000F4BE9">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320" w:type="pct"/>
        <w:tblInd w:w="-147" w:type="dxa"/>
        <w:tblCellMar>
          <w:left w:w="70" w:type="dxa"/>
          <w:right w:w="70" w:type="dxa"/>
        </w:tblCellMar>
        <w:tblLook w:val="00A0" w:firstRow="1" w:lastRow="0" w:firstColumn="1" w:lastColumn="0" w:noHBand="0" w:noVBand="0"/>
      </w:tblPr>
      <w:tblGrid>
        <w:gridCol w:w="1440"/>
        <w:gridCol w:w="1537"/>
        <w:gridCol w:w="1276"/>
        <w:gridCol w:w="5389"/>
      </w:tblGrid>
      <w:tr w:rsidR="000F4BE9" w:rsidRPr="00FA68E1" w:rsidTr="00EF3711">
        <w:trPr>
          <w:trHeight w:val="355"/>
        </w:trPr>
        <w:tc>
          <w:tcPr>
            <w:tcW w:w="1440" w:type="dxa"/>
            <w:tcBorders>
              <w:top w:val="single" w:sz="4" w:space="0" w:color="auto"/>
              <w:left w:val="single" w:sz="4" w:space="0" w:color="auto"/>
              <w:bottom w:val="single" w:sz="4" w:space="0" w:color="auto"/>
              <w:right w:val="single" w:sz="4" w:space="0" w:color="auto"/>
            </w:tcBorders>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537"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5388"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74"/>
        </w:trPr>
        <w:tc>
          <w:tcPr>
            <w:tcW w:w="1440"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537"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538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100 jedincov (v závislosti od variability početnosti populácie v rámci jednotlivých rokov).</w:t>
            </w:r>
          </w:p>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50 do 200 jedincov.</w:t>
            </w:r>
          </w:p>
        </w:tc>
      </w:tr>
      <w:tr w:rsidR="000F4BE9" w:rsidRPr="00FA68E1" w:rsidTr="00EF3711">
        <w:trPr>
          <w:trHeight w:val="930"/>
        </w:trPr>
        <w:tc>
          <w:tcPr>
            <w:tcW w:w="1440"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537"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2,5</w:t>
            </w:r>
          </w:p>
        </w:tc>
        <w:tc>
          <w:tcPr>
            <w:tcW w:w="538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0F4BE9" w:rsidRPr="00FA68E1" w:rsidTr="00EF3711">
        <w:trPr>
          <w:trHeight w:val="930"/>
        </w:trPr>
        <w:tc>
          <w:tcPr>
            <w:tcW w:w="1440"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537"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5388"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p>
        </w:tc>
      </w:tr>
      <w:tr w:rsidR="000F4BE9" w:rsidRPr="00FA68E1" w:rsidTr="00EF3711">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537"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5388"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0F4BE9" w:rsidRPr="00FA68E1" w:rsidTr="00EF3711">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537"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5388"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0F4BE9" w:rsidRPr="00FA68E1" w:rsidRDefault="000F4BE9" w:rsidP="000F4BE9">
      <w:pPr>
        <w:pStyle w:val="Zkladntext"/>
        <w:widowControl w:val="0"/>
        <w:jc w:val="left"/>
        <w:rPr>
          <w:b w:val="0"/>
        </w:rPr>
      </w:pPr>
    </w:p>
    <w:p w:rsidR="000F4BE9" w:rsidRPr="00FA68E1" w:rsidRDefault="000F4BE9" w:rsidP="000F4BE9">
      <w:pPr>
        <w:pStyle w:val="Zkladntext"/>
        <w:widowControl w:val="0"/>
        <w:jc w:val="left"/>
        <w:rPr>
          <w:b w:val="0"/>
        </w:rPr>
      </w:pPr>
    </w:p>
    <w:p w:rsidR="000F4BE9" w:rsidRPr="00FA68E1" w:rsidRDefault="000F4BE9" w:rsidP="000F4BE9">
      <w:pPr>
        <w:pStyle w:val="Zkladntext"/>
        <w:widowControl w:val="0"/>
        <w:spacing w:after="120"/>
        <w:jc w:val="both"/>
      </w:pPr>
      <w:r w:rsidRPr="00FA68E1">
        <w:rPr>
          <w:b w:val="0"/>
        </w:rPr>
        <w:t xml:space="preserve">Zlepšenie stavu druhu </w:t>
      </w:r>
      <w:r w:rsidRPr="00FA68E1">
        <w:rPr>
          <w:i/>
        </w:rPr>
        <w:t xml:space="preserve">Onosma tornensis (Onosma viridis)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9"/>
        <w:gridCol w:w="1484"/>
        <w:gridCol w:w="1327"/>
        <w:gridCol w:w="5335"/>
      </w:tblGrid>
      <w:tr w:rsidR="000F4BE9" w:rsidRPr="00FA68E1" w:rsidTr="00EF3711">
        <w:trPr>
          <w:trHeight w:val="355"/>
        </w:trPr>
        <w:tc>
          <w:tcPr>
            <w:tcW w:w="1539" w:type="dxa"/>
            <w:tcBorders>
              <w:top w:val="single" w:sz="4" w:space="0" w:color="auto"/>
              <w:left w:val="single" w:sz="4" w:space="0" w:color="auto"/>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27"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4" w:type="dxa"/>
            <w:tcBorders>
              <w:top w:val="single" w:sz="4" w:space="0" w:color="auto"/>
              <w:left w:val="nil"/>
              <w:bottom w:val="single" w:sz="4" w:space="0" w:color="auto"/>
              <w:right w:val="single" w:sz="4" w:space="0" w:color="auto"/>
            </w:tcBorders>
            <w:hideMark/>
          </w:tcPr>
          <w:p w:rsidR="000F4BE9" w:rsidRPr="00FA68E1" w:rsidRDefault="000F4BE9"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F4BE9" w:rsidRPr="00FA68E1" w:rsidTr="00EF3711">
        <w:trPr>
          <w:trHeight w:val="274"/>
        </w:trPr>
        <w:tc>
          <w:tcPr>
            <w:tcW w:w="1539"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8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27"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75</w:t>
            </w:r>
          </w:p>
        </w:tc>
        <w:tc>
          <w:tcPr>
            <w:tcW w:w="5334"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75 jedincov (v závislosti od variability početnosti populácie v rámci jednotlivých rokov).</w:t>
            </w:r>
          </w:p>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 súčasnosti je početnost evidovaná v rozmedzí od 50 do 90 jedincov.</w:t>
            </w:r>
          </w:p>
        </w:tc>
      </w:tr>
      <w:tr w:rsidR="000F4BE9" w:rsidRPr="00FA68E1" w:rsidTr="00EF3711">
        <w:trPr>
          <w:trHeight w:val="225"/>
        </w:trPr>
        <w:tc>
          <w:tcPr>
            <w:tcW w:w="1539"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27"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w:t>
            </w:r>
          </w:p>
        </w:tc>
        <w:tc>
          <w:tcPr>
            <w:tcW w:w="5334"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0F4BE9" w:rsidRPr="00FA68E1" w:rsidTr="00EF3711">
        <w:trPr>
          <w:trHeight w:val="225"/>
        </w:trPr>
        <w:tc>
          <w:tcPr>
            <w:tcW w:w="1539" w:type="dxa"/>
            <w:tcBorders>
              <w:top w:val="nil"/>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Kvalita biotopu</w:t>
            </w:r>
          </w:p>
        </w:tc>
        <w:tc>
          <w:tcPr>
            <w:tcW w:w="1484"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Výskyt typických druhov</w:t>
            </w:r>
          </w:p>
        </w:tc>
        <w:tc>
          <w:tcPr>
            <w:tcW w:w="1327"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5334"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Acinos arvensis, Allium flavum, Asperula cynanchica, Bothriochloa ischaemum, Carex humilis, Erysimum odoratum, Festuca valesiaca, Jovibarba globifera, Koeleria macrantha, Melica ciliata, Potentilla arenaria, Pseudolysimachion spicatum, Rhodax canus, Salvia pratensis, Seseli osseum, Stachys recta, Stipa capillata, Teucrium chamaedrys, Teucrium montanum, Tithymalus cyparissias, Vincetoxicum hirundinaria</w:t>
            </w:r>
            <w:r w:rsidRPr="00FA68E1">
              <w:rPr>
                <w:rFonts w:ascii="Times New Roman" w:hAnsi="Times New Roman" w:cs="Times New Roman"/>
                <w:sz w:val="20"/>
                <w:szCs w:val="20"/>
              </w:rPr>
              <w:t xml:space="preserve"> </w:t>
            </w:r>
          </w:p>
        </w:tc>
      </w:tr>
      <w:tr w:rsidR="000F4BE9" w:rsidRPr="00FA68E1" w:rsidTr="00EF3711">
        <w:trPr>
          <w:trHeight w:val="930"/>
        </w:trPr>
        <w:tc>
          <w:tcPr>
            <w:tcW w:w="1539"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327"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0F4BE9" w:rsidRPr="00FA68E1" w:rsidTr="00EF3711">
        <w:trPr>
          <w:trHeight w:val="930"/>
        </w:trPr>
        <w:tc>
          <w:tcPr>
            <w:tcW w:w="1539"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8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327"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5334"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0F4BE9" w:rsidRPr="00FA68E1" w:rsidRDefault="000F4BE9" w:rsidP="000F4BE9">
      <w:pPr>
        <w:pStyle w:val="Zkladntext"/>
        <w:widowControl w:val="0"/>
        <w:jc w:val="left"/>
        <w:rPr>
          <w:b w:val="0"/>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476" w:type="pct"/>
        <w:tblInd w:w="-431" w:type="dxa"/>
        <w:tblCellMar>
          <w:left w:w="70" w:type="dxa"/>
          <w:right w:w="70" w:type="dxa"/>
        </w:tblCellMar>
        <w:tblLook w:val="04A0" w:firstRow="1" w:lastRow="0" w:firstColumn="1" w:lastColumn="0" w:noHBand="0" w:noVBand="1"/>
      </w:tblPr>
      <w:tblGrid>
        <w:gridCol w:w="2127"/>
        <w:gridCol w:w="1276"/>
        <w:gridCol w:w="1418"/>
        <w:gridCol w:w="5104"/>
      </w:tblGrid>
      <w:tr w:rsidR="000F4BE9" w:rsidRPr="00FA68E1" w:rsidTr="00EF3711">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0F4BE9" w:rsidRPr="00FA68E1" w:rsidTr="00EF3711">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Je evidované zimovanie v najväčšom jaskynnom priestore ÚEV v počte 300 až 700 jedincov a tiež reprodukčný výskyt v počte 20 až 50 jedincov.</w:t>
            </w:r>
          </w:p>
        </w:tc>
      </w:tr>
      <w:tr w:rsidR="000F4BE9" w:rsidRPr="00FA68E1" w:rsidTr="00EF3711">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4BE9" w:rsidRPr="00FA68E1" w:rsidRDefault="000F4BE9"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shd w:val="clear" w:color="auto" w:fill="auto"/>
            <w:vAlign w:val="center"/>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418" w:type="dxa"/>
            <w:tcBorders>
              <w:top w:val="single" w:sz="4" w:space="0" w:color="auto"/>
              <w:left w:val="nil"/>
              <w:bottom w:val="single" w:sz="4" w:space="0" w:color="auto"/>
              <w:right w:val="single" w:sz="4" w:space="0" w:color="auto"/>
            </w:tcBorders>
            <w:shd w:val="clear" w:color="auto" w:fill="auto"/>
            <w:vAlign w:val="center"/>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w:t>
            </w:r>
          </w:p>
        </w:tc>
        <w:tc>
          <w:tcPr>
            <w:tcW w:w="5103" w:type="dxa"/>
            <w:tcBorders>
              <w:top w:val="single" w:sz="4" w:space="0" w:color="auto"/>
              <w:left w:val="nil"/>
              <w:bottom w:val="single" w:sz="4" w:space="0" w:color="auto"/>
              <w:right w:val="single" w:sz="4" w:space="0" w:color="auto"/>
            </w:tcBorders>
            <w:shd w:val="clear" w:color="auto" w:fill="auto"/>
            <w:vAlign w:val="center"/>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0F4BE9" w:rsidRPr="00FA68E1" w:rsidTr="00EF3711">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6"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810</w:t>
            </w:r>
          </w:p>
        </w:tc>
        <w:tc>
          <w:tcPr>
            <w:tcW w:w="5103" w:type="dxa"/>
            <w:tcBorders>
              <w:top w:val="nil"/>
              <w:left w:val="nil"/>
              <w:bottom w:val="single" w:sz="4" w:space="0" w:color="auto"/>
              <w:right w:val="single" w:sz="4" w:space="0" w:color="auto"/>
            </w:tcBorders>
            <w:shd w:val="clear" w:color="auto" w:fill="auto"/>
            <w:vAlign w:val="center"/>
            <w:hideMark/>
          </w:tcPr>
          <w:p w:rsidR="000F4BE9" w:rsidRPr="00FA68E1" w:rsidRDefault="000F4BE9"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0F4BE9" w:rsidRPr="00FA68E1" w:rsidRDefault="000F4BE9" w:rsidP="000F4BE9">
      <w:pPr>
        <w:spacing w:line="240" w:lineRule="auto"/>
        <w:rPr>
          <w:rFonts w:ascii="Times New Roman" w:hAnsi="Times New Roman" w:cs="Times New Roman"/>
          <w:color w:val="000000"/>
          <w:sz w:val="24"/>
          <w:szCs w:val="24"/>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0F4BE9"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0F4BE9" w:rsidRPr="00FA68E1" w:rsidTr="00EF371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výskytvýskyt v rozmedzí 90 až 120 jedincov rámci  ÚEV na zimoviskách</w:t>
            </w:r>
          </w:p>
        </w:tc>
      </w:tr>
      <w:tr w:rsidR="000F4BE9"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0F4BE9"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810</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0F4BE9" w:rsidRPr="00FA68E1" w:rsidRDefault="000F4BE9" w:rsidP="000F4BE9">
      <w:pPr>
        <w:rPr>
          <w:rFonts w:ascii="Times New Roman" w:hAnsi="Times New Roman" w:cs="Times New Roman"/>
        </w:rPr>
      </w:pPr>
    </w:p>
    <w:p w:rsidR="000F4BE9" w:rsidRPr="00FA68E1" w:rsidRDefault="000F4BE9" w:rsidP="000F4BE9">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0F4BE9"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0F4BE9" w:rsidRPr="00FA68E1" w:rsidTr="00EF37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5245"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20 až 30 jedincov v rámci celého ÚEV na zimoviskách.</w:t>
            </w:r>
          </w:p>
        </w:tc>
      </w:tr>
      <w:tr w:rsidR="000F4BE9"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5245"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0F4BE9"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5245" w:type="dxa"/>
            <w:tcBorders>
              <w:top w:val="nil"/>
              <w:left w:val="nil"/>
              <w:bottom w:val="single" w:sz="4" w:space="0" w:color="auto"/>
              <w:right w:val="single" w:sz="4" w:space="0" w:color="auto"/>
            </w:tcBorders>
            <w:vAlign w:val="center"/>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0F4BE9" w:rsidRPr="00FA68E1" w:rsidRDefault="000F4BE9" w:rsidP="000F4BE9">
      <w:pPr>
        <w:rPr>
          <w:rFonts w:ascii="Times New Roman" w:hAnsi="Times New Roman" w:cs="Times New Roman"/>
        </w:rPr>
      </w:pPr>
    </w:p>
    <w:p w:rsidR="000F4BE9" w:rsidRPr="00FA68E1" w:rsidRDefault="000F4BE9" w:rsidP="000F4BE9">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0F4BE9"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0F4BE9"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600</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zimný výskyt v počte 5 až 30 jedincov, ako aj reprodukčný výskyt  400 až 600 jedincov v rámci najväčšieho jaskynného priestoru ÚEV. </w:t>
            </w:r>
          </w:p>
        </w:tc>
      </w:tr>
      <w:tr w:rsidR="000F4BE9"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0F4BE9"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0F4BE9" w:rsidRPr="00FA68E1" w:rsidRDefault="000F4BE9" w:rsidP="000F4BE9">
      <w:pPr>
        <w:spacing w:line="240" w:lineRule="auto"/>
        <w:rPr>
          <w:rFonts w:ascii="Times New Roman" w:hAnsi="Times New Roman" w:cs="Times New Roman"/>
        </w:rPr>
      </w:pPr>
    </w:p>
    <w:p w:rsidR="000F4BE9" w:rsidRPr="00FA68E1" w:rsidRDefault="000F4BE9" w:rsidP="000F4BE9">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blythii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0F4BE9"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0F4BE9"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zimný výskyt v počte 1 až 5 jedincov, ako aj reprodukčný výskyt  100 až 200 jedincov v rámci najväčšieho jaskynného priestoru ÚEV.</w:t>
            </w:r>
          </w:p>
        </w:tc>
      </w:tr>
      <w:tr w:rsidR="000F4BE9"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1</w:t>
            </w:r>
          </w:p>
        </w:tc>
        <w:tc>
          <w:tcPr>
            <w:tcW w:w="4111"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0F4BE9"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4111"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0F4BE9" w:rsidRPr="00FA68E1" w:rsidRDefault="000F4BE9" w:rsidP="000F4BE9">
      <w:pPr>
        <w:pStyle w:val="Zkladntext"/>
        <w:widowControl w:val="0"/>
        <w:spacing w:after="120"/>
        <w:jc w:val="both"/>
        <w:rPr>
          <w:b w:val="0"/>
        </w:rPr>
      </w:pPr>
    </w:p>
    <w:p w:rsidR="000F4BE9" w:rsidRPr="00FA68E1" w:rsidRDefault="000F4BE9" w:rsidP="000F4BE9">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dasycneme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0F4BE9"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0F4BE9"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1 až 5 jedincov v rámci celého ÚEV na zimoviskách), je potrebný monitoring stavu populácie druhu.</w:t>
            </w:r>
          </w:p>
        </w:tc>
      </w:tr>
      <w:tr w:rsidR="000F4BE9"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810</w:t>
            </w:r>
          </w:p>
        </w:tc>
        <w:tc>
          <w:tcPr>
            <w:tcW w:w="4111"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Brehové porasty v území – poskytujú potravné biotopy a úkrytové biotopy – dosiahnutie starších porastov na danom území.</w:t>
            </w:r>
          </w:p>
        </w:tc>
      </w:tr>
    </w:tbl>
    <w:p w:rsidR="000F4BE9" w:rsidRPr="00FA68E1" w:rsidRDefault="000F4BE9" w:rsidP="000F4BE9">
      <w:pPr>
        <w:pStyle w:val="Zkladntext"/>
        <w:widowControl w:val="0"/>
        <w:spacing w:after="120"/>
        <w:jc w:val="both"/>
        <w:rPr>
          <w:b w:val="0"/>
        </w:rPr>
      </w:pPr>
    </w:p>
    <w:p w:rsidR="000F4BE9" w:rsidRPr="00FA68E1" w:rsidRDefault="000F4BE9" w:rsidP="000F4BE9">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0F4BE9"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0F4BE9"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10 až 30 jedincov v rámci celého ÚEV na zimoviskách), je potrebný monitoring stavu populácie druhu.</w:t>
            </w:r>
          </w:p>
        </w:tc>
      </w:tr>
      <w:tr w:rsidR="000F4BE9"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w:t>
            </w:r>
          </w:p>
        </w:tc>
        <w:tc>
          <w:tcPr>
            <w:tcW w:w="4111"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Lesné biotopy v celom území – poskytujú  potravné biotopy pre daný druh netopiera.</w:t>
            </w:r>
          </w:p>
        </w:tc>
      </w:tr>
    </w:tbl>
    <w:p w:rsidR="000F4BE9" w:rsidRPr="00FA68E1" w:rsidRDefault="000F4BE9" w:rsidP="000F4BE9">
      <w:pPr>
        <w:pStyle w:val="Zkladntext"/>
        <w:widowControl w:val="0"/>
        <w:spacing w:after="120"/>
        <w:jc w:val="both"/>
        <w:rPr>
          <w:b w:val="0"/>
        </w:rPr>
      </w:pPr>
    </w:p>
    <w:p w:rsidR="000F4BE9" w:rsidRPr="00FA68E1" w:rsidRDefault="000F4BE9" w:rsidP="000F4BE9">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844"/>
        <w:gridCol w:w="1638"/>
        <w:gridCol w:w="1622"/>
        <w:gridCol w:w="4678"/>
      </w:tblGrid>
      <w:tr w:rsidR="000F4BE9" w:rsidRPr="00FA68E1" w:rsidTr="00EF3711">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63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1622"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0F4BE9" w:rsidRPr="00FA68E1" w:rsidTr="00EF3711">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63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622"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600</w:t>
            </w:r>
          </w:p>
        </w:tc>
        <w:tc>
          <w:tcPr>
            <w:tcW w:w="4678"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zimný výskyt v počte 300 až 1000 jedincov, ako aj reprodukčný výskyt  v počte 400 až 600 jedincov v rámci najväčšieho jaskynného priestoru ÚEV.  je potrebný monitoring stavu populácie druhu.</w:t>
            </w:r>
          </w:p>
        </w:tc>
      </w:tr>
      <w:tr w:rsidR="000F4BE9" w:rsidRPr="00FA68E1" w:rsidTr="00EF3711">
        <w:trPr>
          <w:trHeight w:val="930"/>
        </w:trPr>
        <w:tc>
          <w:tcPr>
            <w:tcW w:w="1844"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63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622"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0F4BE9" w:rsidRPr="00FA68E1" w:rsidTr="00EF3711">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638"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622"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678" w:type="dxa"/>
            <w:tcBorders>
              <w:top w:val="single" w:sz="4" w:space="0" w:color="auto"/>
              <w:left w:val="nil"/>
              <w:bottom w:val="single" w:sz="4" w:space="0" w:color="auto"/>
              <w:right w:val="single" w:sz="4" w:space="0" w:color="auto"/>
            </w:tcBorders>
            <w:vAlign w:val="center"/>
          </w:tcPr>
          <w:p w:rsidR="000F4BE9" w:rsidRPr="00FA68E1" w:rsidRDefault="000F4BE9"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0F4BE9" w:rsidRPr="00FA68E1" w:rsidRDefault="000F4BE9" w:rsidP="000F4BE9">
      <w:pPr>
        <w:pStyle w:val="Zkladntext"/>
        <w:widowControl w:val="0"/>
        <w:spacing w:after="120"/>
        <w:jc w:val="both"/>
        <w:rPr>
          <w:b w:val="0"/>
        </w:rPr>
      </w:pPr>
    </w:p>
    <w:p w:rsidR="000F4BE9" w:rsidRPr="00FA68E1" w:rsidRDefault="000F4BE9" w:rsidP="000F4BE9">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0F4BE9"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0F4BE9"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5245" w:type="dxa"/>
            <w:tcBorders>
              <w:top w:val="single" w:sz="4" w:space="0" w:color="auto"/>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 až 100 jedincov v rámci celého ÚEV. K poznaniu skutočného stavu je potrebný monitoring  populácie druhu. </w:t>
            </w:r>
          </w:p>
        </w:tc>
      </w:tr>
      <w:tr w:rsidR="000F4BE9"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5245"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0F4BE9"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5245" w:type="dxa"/>
            <w:tcBorders>
              <w:top w:val="nil"/>
              <w:left w:val="nil"/>
              <w:bottom w:val="single" w:sz="4" w:space="0" w:color="auto"/>
              <w:right w:val="single" w:sz="4" w:space="0" w:color="auto"/>
            </w:tcBorders>
            <w:vAlign w:val="center"/>
            <w:hideMark/>
          </w:tcPr>
          <w:p w:rsidR="000F4BE9" w:rsidRPr="00FA68E1" w:rsidRDefault="000F4BE9"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0F4BE9" w:rsidRPr="00FA68E1" w:rsidRDefault="000F4BE9" w:rsidP="000F4BE9">
      <w:pPr>
        <w:rPr>
          <w:rFonts w:ascii="Times New Roman" w:hAnsi="Times New Roman" w:cs="Times New Roman"/>
        </w:rPr>
      </w:pPr>
    </w:p>
    <w:p w:rsidR="000F4BE9" w:rsidRPr="00FA68E1" w:rsidRDefault="000F4BE9" w:rsidP="000F4BE9">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4"/>
        <w:gridCol w:w="1410"/>
        <w:gridCol w:w="1552"/>
        <w:gridCol w:w="5079"/>
      </w:tblGrid>
      <w:tr w:rsidR="000F4BE9" w:rsidRPr="00FA68E1" w:rsidTr="00EF3711">
        <w:trPr>
          <w:trHeight w:val="521"/>
        </w:trPr>
        <w:tc>
          <w:tcPr>
            <w:tcW w:w="1694" w:type="dxa"/>
            <w:tcMar>
              <w:top w:w="100" w:type="dxa"/>
              <w:left w:w="100" w:type="dxa"/>
              <w:bottom w:w="100" w:type="dxa"/>
              <w:right w:w="100" w:type="dxa"/>
            </w:tcMar>
            <w:vAlign w:val="center"/>
            <w:hideMark/>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0" w:type="dxa"/>
            <w:tcMar>
              <w:top w:w="100" w:type="dxa"/>
              <w:left w:w="100" w:type="dxa"/>
              <w:bottom w:w="100" w:type="dxa"/>
              <w:right w:w="100" w:type="dxa"/>
            </w:tcMar>
            <w:vAlign w:val="center"/>
            <w:hideMark/>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52" w:type="dxa"/>
            <w:tcMar>
              <w:top w:w="100" w:type="dxa"/>
              <w:left w:w="100" w:type="dxa"/>
              <w:bottom w:w="100" w:type="dxa"/>
              <w:right w:w="100" w:type="dxa"/>
            </w:tcMar>
            <w:vAlign w:val="center"/>
            <w:hideMark/>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079" w:type="dxa"/>
            <w:tcMar>
              <w:top w:w="100" w:type="dxa"/>
              <w:left w:w="100" w:type="dxa"/>
              <w:bottom w:w="100" w:type="dxa"/>
              <w:right w:w="100" w:type="dxa"/>
            </w:tcMar>
            <w:vAlign w:val="center"/>
            <w:hideMark/>
          </w:tcPr>
          <w:p w:rsidR="000F4BE9" w:rsidRPr="00FA68E1" w:rsidRDefault="000F4BE9"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0F4BE9" w:rsidRPr="00FA68E1" w:rsidTr="00EF3711">
        <w:trPr>
          <w:trHeight w:val="377"/>
        </w:trPr>
        <w:tc>
          <w:tcPr>
            <w:tcW w:w="1694" w:type="dxa"/>
            <w:tcMar>
              <w:top w:w="100" w:type="dxa"/>
              <w:left w:w="100" w:type="dxa"/>
              <w:bottom w:w="100" w:type="dxa"/>
              <w:right w:w="100" w:type="dxa"/>
            </w:tcMar>
            <w:vAlign w:val="center"/>
            <w:hideMark/>
          </w:tcPr>
          <w:p w:rsidR="000F4BE9" w:rsidRPr="00FA68E1" w:rsidRDefault="000F4BE9" w:rsidP="00EF3711">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0"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52"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5079"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0F4BE9" w:rsidRPr="00FA68E1" w:rsidTr="00EF3711">
        <w:trPr>
          <w:trHeight w:val="521"/>
        </w:trPr>
        <w:tc>
          <w:tcPr>
            <w:tcW w:w="1694"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0"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52"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5079"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0F4BE9" w:rsidRPr="00FA68E1" w:rsidTr="00EF3711">
        <w:trPr>
          <w:trHeight w:val="2301"/>
        </w:trPr>
        <w:tc>
          <w:tcPr>
            <w:tcW w:w="1694"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0"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552"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územia 0% a maximálne 2500 metrov turistických a náučných chodníkov</w:t>
            </w:r>
          </w:p>
        </w:tc>
        <w:tc>
          <w:tcPr>
            <w:tcW w:w="5079"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 biotopoch vylúčiť budovanie stavieb a rozširovať turistickú infraštruktúru. </w:t>
            </w:r>
          </w:p>
        </w:tc>
      </w:tr>
      <w:tr w:rsidR="000F4BE9" w:rsidRPr="00FA68E1" w:rsidTr="00EF3711">
        <w:trPr>
          <w:trHeight w:val="470"/>
        </w:trPr>
        <w:tc>
          <w:tcPr>
            <w:tcW w:w="1694"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0"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52"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079"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0F4BE9" w:rsidRPr="00FA68E1" w:rsidRDefault="000F4BE9" w:rsidP="000F4BE9">
      <w:pPr>
        <w:rPr>
          <w:rFonts w:ascii="Times New Roman" w:hAnsi="Times New Roman" w:cs="Times New Roman"/>
        </w:rPr>
      </w:pPr>
    </w:p>
    <w:p w:rsidR="000F4BE9" w:rsidRPr="00FA68E1" w:rsidRDefault="000F4BE9" w:rsidP="000F4BE9">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0F4BE9" w:rsidRPr="00FA68E1" w:rsidTr="00EF3711">
        <w:trPr>
          <w:trHeight w:val="367"/>
        </w:trPr>
        <w:tc>
          <w:tcPr>
            <w:tcW w:w="1702"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0F4BE9" w:rsidRPr="00FA68E1" w:rsidTr="00EF3711">
        <w:trPr>
          <w:trHeight w:val="435"/>
        </w:trPr>
        <w:tc>
          <w:tcPr>
            <w:tcW w:w="1702" w:type="dxa"/>
            <w:tcMar>
              <w:top w:w="100" w:type="dxa"/>
              <w:left w:w="100" w:type="dxa"/>
              <w:bottom w:w="100" w:type="dxa"/>
              <w:right w:w="100" w:type="dxa"/>
            </w:tcMar>
            <w:vAlign w:val="center"/>
            <w:hideMark/>
          </w:tcPr>
          <w:p w:rsidR="000F4BE9" w:rsidRPr="00FA68E1" w:rsidRDefault="000F4BE9" w:rsidP="00EF3711">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5103"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Odhadnutá 1 reprodukčná svorka (min 2 jedince).</w:t>
            </w:r>
          </w:p>
        </w:tc>
      </w:tr>
      <w:tr w:rsidR="000F4BE9" w:rsidRPr="00FA68E1" w:rsidTr="00EF3711">
        <w:tc>
          <w:tcPr>
            <w:tcW w:w="1702"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5103" w:type="dxa"/>
            <w:tcMar>
              <w:top w:w="100" w:type="dxa"/>
              <w:left w:w="100" w:type="dxa"/>
              <w:bottom w:w="100" w:type="dxa"/>
              <w:right w:w="100" w:type="dxa"/>
            </w:tcMar>
            <w:vAlign w:val="center"/>
            <w:hideMark/>
          </w:tcPr>
          <w:p w:rsidR="000F4BE9" w:rsidRPr="00FA68E1" w:rsidRDefault="000F4BE9"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0F4BE9" w:rsidRPr="00FA68E1" w:rsidTr="00EF3711">
        <w:trPr>
          <w:trHeight w:val="371"/>
        </w:trPr>
        <w:tc>
          <w:tcPr>
            <w:tcW w:w="1702"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0F4BE9" w:rsidRPr="00FA68E1" w:rsidRDefault="000F4BE9" w:rsidP="00EF3711">
            <w:pPr>
              <w:widowControl w:val="0"/>
              <w:spacing w:after="0"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0F4BE9" w:rsidRPr="00FA68E1" w:rsidTr="00EF3711">
        <w:trPr>
          <w:trHeight w:val="371"/>
        </w:trPr>
        <w:tc>
          <w:tcPr>
            <w:tcW w:w="1702"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0F4BE9" w:rsidRPr="00FA68E1" w:rsidRDefault="000F4BE9"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0F4BE9" w:rsidRPr="00FA68E1" w:rsidRDefault="000F4BE9" w:rsidP="000F4BE9">
      <w:pPr>
        <w:pStyle w:val="Zkladntext"/>
        <w:widowControl w:val="0"/>
        <w:spacing w:after="120"/>
        <w:jc w:val="both"/>
        <w:rPr>
          <w:b w:val="0"/>
          <w:i/>
        </w:rPr>
      </w:pPr>
    </w:p>
    <w:p w:rsidR="000F4BE9" w:rsidRPr="00FA68E1" w:rsidRDefault="000F4BE9" w:rsidP="000F4BE9">
      <w:pPr>
        <w:rPr>
          <w:rFonts w:ascii="Times New Roman" w:eastAsia="Times New Roman" w:hAnsi="Times New Roman" w:cs="Times New Roman"/>
          <w:bCs/>
          <w:i/>
          <w:sz w:val="24"/>
          <w:szCs w:val="24"/>
          <w:lang w:eastAsia="zh-CN"/>
        </w:rPr>
      </w:pPr>
      <w:r w:rsidRPr="00FA68E1">
        <w:rPr>
          <w:rFonts w:ascii="Times New Roman" w:hAnsi="Times New Roman" w:cs="Times New Roman"/>
          <w:b/>
          <w:i/>
        </w:rPr>
        <w:br w:type="page"/>
      </w:r>
    </w:p>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E9"/>
    <w:rsid w:val="000F4BE9"/>
    <w:rsid w:val="004F7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E416"/>
  <w15:chartTrackingRefBased/>
  <w15:docId w15:val="{DC3FD89D-DE65-4AAB-B5E3-991C4E00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4BE9"/>
  </w:style>
  <w:style w:type="paragraph" w:styleId="Nadpis1">
    <w:name w:val="heading 1"/>
    <w:basedOn w:val="Normlny"/>
    <w:next w:val="Normlny"/>
    <w:link w:val="Nadpis1Char"/>
    <w:uiPriority w:val="9"/>
    <w:qFormat/>
    <w:rsid w:val="000F4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F4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0F4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0F4B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F4BE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0F4BE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0F4BE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0F4BE9"/>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rsid w:val="000F4BE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0F4BE9"/>
    <w:rPr>
      <w:rFonts w:ascii="Times New Roman" w:eastAsia="Times New Roman" w:hAnsi="Times New Roman" w:cs="Times New Roman"/>
      <w:b/>
      <w:bCs/>
      <w:sz w:val="24"/>
      <w:szCs w:val="24"/>
      <w:lang w:eastAsia="zh-CN"/>
    </w:rPr>
  </w:style>
  <w:style w:type="paragraph" w:styleId="Bezriadkovania">
    <w:name w:val="No Spacing"/>
    <w:uiPriority w:val="1"/>
    <w:qFormat/>
    <w:rsid w:val="000F4BE9"/>
    <w:pPr>
      <w:spacing w:after="0" w:line="240" w:lineRule="auto"/>
    </w:pPr>
  </w:style>
  <w:style w:type="paragraph" w:styleId="Odsekzoznamu">
    <w:name w:val="List Paragraph"/>
    <w:basedOn w:val="Normlny"/>
    <w:uiPriority w:val="1"/>
    <w:qFormat/>
    <w:rsid w:val="000F4BE9"/>
    <w:pPr>
      <w:spacing w:after="0" w:line="276" w:lineRule="auto"/>
      <w:ind w:left="720"/>
    </w:pPr>
    <w:rPr>
      <w:rFonts w:ascii="Arial" w:eastAsia="Calibri" w:hAnsi="Arial" w:cs="Arial"/>
    </w:rPr>
  </w:style>
  <w:style w:type="character" w:styleId="Odkaznakomentr">
    <w:name w:val="annotation reference"/>
    <w:semiHidden/>
    <w:unhideWhenUsed/>
    <w:qFormat/>
    <w:rsid w:val="000F4B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4662</Words>
  <Characters>26580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2023-01-10T14:01:00Z</dcterms:created>
  <dcterms:modified xsi:type="dcterms:W3CDTF">2023-01-10T14:02:00Z</dcterms:modified>
</cp:coreProperties>
</file>