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9EE7DD6" w:rsidR="000E05DA" w:rsidRDefault="00B032A2" w:rsidP="00FA5EE0">
      <w:pPr>
        <w:spacing w:line="240" w:lineRule="auto"/>
        <w:jc w:val="both"/>
      </w:pPr>
      <w:r>
        <w:rPr>
          <w:b/>
          <w:sz w:val="28"/>
          <w:szCs w:val="28"/>
          <w:lang w:eastAsia="cs-CZ"/>
        </w:rPr>
        <w:t>SKUEV0576</w:t>
      </w:r>
      <w:r w:rsidR="000E05DA">
        <w:rPr>
          <w:b/>
          <w:sz w:val="28"/>
          <w:szCs w:val="28"/>
          <w:lang w:eastAsia="cs-CZ"/>
        </w:rPr>
        <w:t xml:space="preserve"> </w:t>
      </w:r>
      <w:r w:rsidR="0010210D">
        <w:rPr>
          <w:b/>
          <w:sz w:val="28"/>
          <w:szCs w:val="28"/>
          <w:lang w:eastAsia="cs-CZ"/>
        </w:rPr>
        <w:t>Tlstá</w:t>
      </w:r>
      <w:r>
        <w:rPr>
          <w:b/>
          <w:sz w:val="28"/>
          <w:szCs w:val="28"/>
          <w:lang w:eastAsia="cs-CZ"/>
        </w:rPr>
        <w:t xml:space="preserve"> </w:t>
      </w:r>
      <w:r w:rsidR="0010210D">
        <w:rPr>
          <w:b/>
          <w:sz w:val="28"/>
          <w:szCs w:val="28"/>
          <w:lang w:eastAsia="cs-CZ"/>
        </w:rPr>
        <w:t>hora</w:t>
      </w:r>
    </w:p>
    <w:p w14:paraId="6DE8C982" w14:textId="367FD910"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36D9D763" w:rsidR="000E05DA" w:rsidRPr="00626A09" w:rsidRDefault="00140708" w:rsidP="00B032A2">
      <w:pPr>
        <w:pStyle w:val="Zkladntext"/>
        <w:widowControl w:val="0"/>
        <w:jc w:val="both"/>
      </w:pPr>
      <w:r>
        <w:rPr>
          <w:lang w:val="sk-SK"/>
        </w:rPr>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6800245E" w:rsidR="000E05DA" w:rsidRPr="003509FA" w:rsidRDefault="001B2C25" w:rsidP="000560C8">
            <w:pPr>
              <w:spacing w:after="0" w:line="240" w:lineRule="auto"/>
              <w:jc w:val="center"/>
              <w:rPr>
                <w:rFonts w:eastAsia="Times New Roman"/>
                <w:sz w:val="18"/>
                <w:szCs w:val="18"/>
              </w:rPr>
            </w:pPr>
            <w:r>
              <w:rPr>
                <w:rFonts w:eastAsia="Times New Roman"/>
                <w:sz w:val="18"/>
                <w:szCs w:val="18"/>
              </w:rPr>
              <w:t>0</w:t>
            </w:r>
            <w:r w:rsidR="009F74C3">
              <w:rPr>
                <w:rFonts w:eastAsia="Times New Roman"/>
                <w:sz w:val="18"/>
                <w:szCs w:val="18"/>
              </w:rPr>
              <w:t>,5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5B345D61" w:rsidR="000E05DA" w:rsidRPr="003509FA" w:rsidRDefault="00FA5EE0"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FA5EE0"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FA5EE0" w:rsidRPr="003509FA" w:rsidRDefault="00FA5EE0" w:rsidP="00FA5EE0">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FA5EE0" w:rsidRPr="003509FA" w:rsidRDefault="00FA5EE0" w:rsidP="00FA5EE0">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FA5EE0" w:rsidRPr="003509FA" w:rsidRDefault="00FA5EE0" w:rsidP="00FA5EE0">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6FF502BC" w:rsidR="00FA5EE0" w:rsidRPr="003509FA" w:rsidRDefault="00FA5EE0" w:rsidP="00FA5EE0">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796955B2"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3DEBC21F" w:rsidR="00F436A8" w:rsidRPr="00B6615B" w:rsidRDefault="00B032A2" w:rsidP="00C9571F">
            <w:pPr>
              <w:jc w:val="center"/>
              <w:rPr>
                <w:rFonts w:eastAsia="Times New Roman"/>
                <w:sz w:val="20"/>
                <w:szCs w:val="20"/>
              </w:rPr>
            </w:pPr>
            <w:r>
              <w:rPr>
                <w:rFonts w:eastAsia="Times New Roman"/>
                <w:sz w:val="20"/>
                <w:szCs w:val="20"/>
              </w:rPr>
              <w:t>0,2</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4806DFC0" w14:textId="326C53E2" w:rsidR="00EC67A6" w:rsidRDefault="00504B06"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304C992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304C992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2C171FF4" w:rsidR="00EC67A6" w:rsidRPr="00775056" w:rsidRDefault="00B032A2" w:rsidP="00C9571F">
            <w:pPr>
              <w:spacing w:line="240" w:lineRule="auto"/>
              <w:jc w:val="center"/>
              <w:rPr>
                <w:rFonts w:eastAsia="Times New Roman"/>
                <w:color w:val="000000"/>
                <w:sz w:val="20"/>
                <w:szCs w:val="20"/>
              </w:rPr>
            </w:pPr>
            <w:r>
              <w:rPr>
                <w:rFonts w:eastAsia="Times New Roman"/>
                <w:color w:val="000000"/>
                <w:sz w:val="20"/>
                <w:szCs w:val="20"/>
              </w:rPr>
              <w:t>0,08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304C9921">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5CD58181" w:rsidR="00EC67A6" w:rsidRPr="00775056" w:rsidRDefault="00FA5EE0"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63BA586F" w:rsidR="00EC67A6" w:rsidRDefault="304C9921" w:rsidP="304C9921">
            <w:pPr>
              <w:spacing w:line="240" w:lineRule="auto"/>
              <w:rPr>
                <w:rFonts w:eastAsia="Times New Roman"/>
                <w:i/>
                <w:iCs/>
                <w:color w:val="000000"/>
                <w:sz w:val="20"/>
                <w:szCs w:val="20"/>
              </w:rPr>
            </w:pPr>
            <w:r w:rsidRPr="304C9921">
              <w:rPr>
                <w:rFonts w:eastAsia="Times New Roman"/>
                <w:color w:val="000000" w:themeColor="text1"/>
                <w:sz w:val="20"/>
                <w:szCs w:val="20"/>
              </w:rPr>
              <w:t xml:space="preserve">Charakteristické/typické druhové zloženie: </w:t>
            </w:r>
            <w:r w:rsidRPr="304C9921">
              <w:rPr>
                <w:rFonts w:eastAsia="Times New Roman"/>
                <w:i/>
                <w:iCs/>
                <w:color w:val="000000" w:themeColor="text1"/>
                <w:sz w:val="20"/>
                <w:szCs w:val="20"/>
              </w:rPr>
              <w:t>Blysmus compressus, Carex davalliana, Carex dioica, Carex lepidocarpa, Carex flava, Dactylorhiza incarnata, Dactylorhiza majalis, Eleocharis quinqueflora, Epipactis palustris, Eriophorum angustifolium, Eriophorum latifolium, Gymnadenia densiflora, Parnassia palustris,</w:t>
            </w:r>
            <w:r w:rsidRPr="304C9921">
              <w:rPr>
                <w:rFonts w:eastAsia="Times New Roman"/>
                <w:color w:val="000000" w:themeColor="text1"/>
                <w:sz w:val="20"/>
                <w:szCs w:val="20"/>
              </w:rPr>
              <w:t xml:space="preserve"> </w:t>
            </w:r>
            <w:r w:rsidRPr="304C9921">
              <w:rPr>
                <w:rFonts w:eastAsia="Times New Roman"/>
                <w:i/>
                <w:iCs/>
                <w:color w:val="000000" w:themeColor="text1"/>
                <w:sz w:val="20"/>
                <w:szCs w:val="20"/>
              </w:rPr>
              <w:t>Caltha palustris</w:t>
            </w:r>
            <w:r w:rsidR="00FA5EE0">
              <w:rPr>
                <w:rFonts w:eastAsia="Times New Roman"/>
                <w:i/>
                <w:iCs/>
                <w:color w:val="000000" w:themeColor="text1"/>
                <w:sz w:val="20"/>
                <w:szCs w:val="20"/>
              </w:rPr>
              <w:t xml:space="preserve">, </w:t>
            </w:r>
            <w:r w:rsidRPr="304C9921">
              <w:rPr>
                <w:rFonts w:eastAsia="Times New Roman"/>
                <w:i/>
                <w:iCs/>
                <w:color w:val="000000" w:themeColor="text1"/>
                <w:sz w:val="20"/>
                <w:szCs w:val="20"/>
              </w:rPr>
              <w:t>Succisa pratensis,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304C9921">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304C992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304C992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74A8D400" w14:textId="61B4830F" w:rsidR="00EC67A6" w:rsidRDefault="00EC67A6" w:rsidP="00EC67A6">
      <w:pPr>
        <w:spacing w:line="240" w:lineRule="auto"/>
        <w:rPr>
          <w:color w:val="000000"/>
          <w:szCs w:val="24"/>
        </w:rPr>
      </w:pPr>
    </w:p>
    <w:p w14:paraId="6A98808E" w14:textId="77777777" w:rsidR="00504B06" w:rsidRDefault="00504B06" w:rsidP="00504B06">
      <w:pPr>
        <w:spacing w:line="240" w:lineRule="auto"/>
        <w:rPr>
          <w:color w:val="000000"/>
          <w:szCs w:val="24"/>
        </w:rPr>
      </w:pPr>
      <w:r>
        <w:rPr>
          <w:color w:val="000000"/>
          <w:szCs w:val="24"/>
        </w:rPr>
        <w:t xml:space="preserve">Zachovanie stavu biotopu </w:t>
      </w:r>
      <w:r>
        <w:rPr>
          <w:b/>
          <w:color w:val="000000"/>
          <w:szCs w:val="24"/>
        </w:rPr>
        <w:t>Pr3 (7220</w:t>
      </w:r>
      <w:r w:rsidRPr="007657C5">
        <w:rPr>
          <w:b/>
          <w:color w:val="000000"/>
          <w:szCs w:val="24"/>
        </w:rPr>
        <w:t xml:space="preserve">) </w:t>
      </w:r>
      <w:r>
        <w:rPr>
          <w:b/>
          <w:color w:val="000000"/>
          <w:szCs w:val="24"/>
        </w:rPr>
        <w:t xml:space="preserve">Penovcové prameniská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04B06" w:rsidRPr="0000010E" w14:paraId="04E5CC3F" w14:textId="77777777" w:rsidTr="304C992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788B3A1"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26024D8"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D7247F6" w14:textId="77777777" w:rsidR="00504B06" w:rsidRPr="00775056" w:rsidRDefault="00504B06" w:rsidP="00E0168C">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43F8BDF"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Doplnkové informácie</w:t>
            </w:r>
          </w:p>
        </w:tc>
      </w:tr>
      <w:tr w:rsidR="00504B06" w:rsidRPr="0000010E" w14:paraId="3518ED1C" w14:textId="77777777" w:rsidTr="304C992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94561"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04798CA" w14:textId="77777777" w:rsidR="00504B06" w:rsidRPr="00775056" w:rsidRDefault="00504B06" w:rsidP="00E0168C">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BD75A6" w14:textId="625369E9" w:rsidR="00504B06" w:rsidRPr="00775056" w:rsidRDefault="00B032A2" w:rsidP="00E0168C">
            <w:pPr>
              <w:spacing w:line="240" w:lineRule="auto"/>
              <w:jc w:val="center"/>
              <w:rPr>
                <w:rFonts w:eastAsia="Times New Roman"/>
                <w:color w:val="000000"/>
                <w:sz w:val="20"/>
                <w:szCs w:val="20"/>
              </w:rPr>
            </w:pPr>
            <w:r>
              <w:rPr>
                <w:rFonts w:eastAsia="Times New Roman"/>
                <w:color w:val="000000"/>
                <w:sz w:val="20"/>
                <w:szCs w:val="20"/>
              </w:rPr>
              <w:t>0,09</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05702F2"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504B06" w:rsidRPr="0000010E" w14:paraId="73EBD61C" w14:textId="77777777" w:rsidTr="304C9921">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4D13EE"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002533F" w14:textId="7C2C58FF" w:rsidR="00504B06" w:rsidRPr="00775056" w:rsidRDefault="00FA5EE0" w:rsidP="00E0168C">
            <w:pPr>
              <w:spacing w:line="240" w:lineRule="auto"/>
              <w:rPr>
                <w:rFonts w:eastAsia="Times New Roman"/>
                <w:color w:val="000000"/>
                <w:sz w:val="20"/>
                <w:szCs w:val="20"/>
              </w:rPr>
            </w:pPr>
            <w:r>
              <w:rPr>
                <w:rFonts w:eastAsia="Times New Roman"/>
                <w:color w:val="000000"/>
                <w:sz w:val="20"/>
                <w:szCs w:val="20"/>
              </w:rPr>
              <w:t>počet druhov/16</w:t>
            </w:r>
            <w:r w:rsidR="00504B06" w:rsidRPr="00775056">
              <w:rPr>
                <w:rFonts w:eastAsia="Times New Roman"/>
                <w:color w:val="000000"/>
                <w:sz w:val="20"/>
                <w:szCs w:val="20"/>
              </w:rPr>
              <w:t xml:space="preserve"> m</w:t>
            </w:r>
            <w:r w:rsidR="00504B0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4408428"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A1ADE6D" w14:textId="206546F0" w:rsidR="00504B06" w:rsidRDefault="304C9921" w:rsidP="304C9921">
            <w:pPr>
              <w:spacing w:line="240" w:lineRule="auto"/>
              <w:rPr>
                <w:rFonts w:eastAsia="Times New Roman"/>
                <w:i/>
                <w:iCs/>
                <w:color w:val="000000"/>
                <w:sz w:val="20"/>
                <w:szCs w:val="20"/>
              </w:rPr>
            </w:pPr>
            <w:r w:rsidRPr="304C9921">
              <w:rPr>
                <w:rFonts w:eastAsia="Times New Roman"/>
                <w:color w:val="000000" w:themeColor="text1"/>
                <w:sz w:val="20"/>
                <w:szCs w:val="20"/>
              </w:rPr>
              <w:t xml:space="preserve">Charakteristické/typické druhové zloženie: </w:t>
            </w:r>
            <w:r w:rsidRPr="304C9921">
              <w:rPr>
                <w:rFonts w:eastAsia="Times New Roman"/>
                <w:i/>
                <w:iCs/>
                <w:color w:val="000000" w:themeColor="text1"/>
                <w:sz w:val="20"/>
                <w:szCs w:val="20"/>
              </w:rPr>
              <w:t>Blysmus compressus, Carex flacca, Carex lepidocarpa, Chrysosplenium alternifolium,  Epipactis palustris, Eupatorium cannabinum, Parnassia palustris,</w:t>
            </w:r>
            <w:r w:rsidRPr="304C9921">
              <w:rPr>
                <w:rFonts w:eastAsia="Times New Roman"/>
                <w:color w:val="000000" w:themeColor="text1"/>
                <w:sz w:val="20"/>
                <w:szCs w:val="20"/>
              </w:rPr>
              <w:t xml:space="preserve"> </w:t>
            </w:r>
            <w:r w:rsidRPr="304C9921">
              <w:rPr>
                <w:rFonts w:eastAsia="Times New Roman"/>
                <w:i/>
                <w:iCs/>
                <w:color w:val="000000" w:themeColor="text1"/>
                <w:sz w:val="20"/>
                <w:szCs w:val="20"/>
              </w:rPr>
              <w:t xml:space="preserve">Scrophularia umbrosa, Triglochin palustre, </w:t>
            </w:r>
          </w:p>
          <w:p w14:paraId="03D3EB05" w14:textId="77777777" w:rsidR="00504B06" w:rsidRPr="00775056" w:rsidRDefault="00504B06" w:rsidP="00E0168C">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504B06" w:rsidRPr="0000010E" w14:paraId="46C25CDF" w14:textId="77777777" w:rsidTr="304C9921">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981F253"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93A2142"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61AC947"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5CA87CA3" w14:textId="77777777" w:rsidR="00504B06" w:rsidRPr="00775056" w:rsidRDefault="00504B06" w:rsidP="00E0168C">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504B06" w:rsidRPr="0000010E" w14:paraId="22195DB6" w14:textId="77777777" w:rsidTr="304C992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971A0D1"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733488C"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572D56F"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172F478" w14:textId="77777777" w:rsidR="00504B06" w:rsidRPr="00775056" w:rsidRDefault="00504B06" w:rsidP="00E0168C">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422CD8D9" w14:textId="0CAE1D58" w:rsidR="00504B06" w:rsidRDefault="00504B06" w:rsidP="00504B06">
      <w:pPr>
        <w:spacing w:line="240" w:lineRule="auto"/>
        <w:rPr>
          <w:color w:val="000000"/>
          <w:szCs w:val="24"/>
        </w:rPr>
      </w:pPr>
    </w:p>
    <w:p w14:paraId="3760131B" w14:textId="41BC7FCE" w:rsidR="00C9571F" w:rsidRPr="00EF3712" w:rsidRDefault="004478C1"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304C992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FA5EE0" w:rsidRDefault="00C9571F" w:rsidP="00C9571F">
            <w:pPr>
              <w:spacing w:line="240" w:lineRule="auto"/>
              <w:jc w:val="both"/>
              <w:rPr>
                <w:rFonts w:eastAsia="Times New Roman"/>
                <w:b/>
                <w:color w:val="000000"/>
                <w:sz w:val="20"/>
                <w:szCs w:val="20"/>
              </w:rPr>
            </w:pPr>
            <w:r w:rsidRPr="00FA5EE0">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FA5EE0" w:rsidRDefault="00C9571F" w:rsidP="00C9571F">
            <w:pPr>
              <w:spacing w:line="240" w:lineRule="auto"/>
              <w:jc w:val="center"/>
              <w:rPr>
                <w:rFonts w:eastAsia="Times New Roman"/>
                <w:b/>
                <w:color w:val="000000"/>
                <w:sz w:val="20"/>
                <w:szCs w:val="20"/>
              </w:rPr>
            </w:pPr>
            <w:r w:rsidRPr="00FA5EE0">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FA5EE0" w:rsidRDefault="00C9571F" w:rsidP="00C9571F">
            <w:pPr>
              <w:spacing w:line="240" w:lineRule="auto"/>
              <w:jc w:val="center"/>
              <w:rPr>
                <w:rFonts w:eastAsia="Times New Roman"/>
                <w:b/>
                <w:color w:val="000000"/>
                <w:sz w:val="20"/>
                <w:szCs w:val="20"/>
              </w:rPr>
            </w:pPr>
            <w:r w:rsidRPr="00FA5EE0">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FA5EE0" w:rsidRDefault="00C9571F" w:rsidP="00C9571F">
            <w:pPr>
              <w:spacing w:line="240" w:lineRule="auto"/>
              <w:jc w:val="both"/>
              <w:rPr>
                <w:rFonts w:eastAsia="Times New Roman"/>
                <w:b/>
                <w:color w:val="000000"/>
                <w:sz w:val="20"/>
                <w:szCs w:val="20"/>
              </w:rPr>
            </w:pPr>
            <w:r w:rsidRPr="00FA5EE0">
              <w:rPr>
                <w:rFonts w:eastAsia="Times New Roman"/>
                <w:b/>
                <w:color w:val="000000"/>
                <w:sz w:val="20"/>
                <w:szCs w:val="20"/>
              </w:rPr>
              <w:t>Doplnkové informácie</w:t>
            </w:r>
          </w:p>
        </w:tc>
      </w:tr>
      <w:tr w:rsidR="00C9571F" w:rsidRPr="0000010E" w14:paraId="64C9D492" w14:textId="77777777" w:rsidTr="304C992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13661D1C" w:rsidR="00C9571F" w:rsidRPr="00EF3712" w:rsidRDefault="004478C1" w:rsidP="00C9571F">
            <w:pPr>
              <w:spacing w:line="240" w:lineRule="auto"/>
              <w:jc w:val="center"/>
              <w:rPr>
                <w:rFonts w:eastAsia="Times New Roman"/>
                <w:color w:val="000000"/>
                <w:sz w:val="20"/>
                <w:szCs w:val="20"/>
              </w:rPr>
            </w:pPr>
            <w:r>
              <w:rPr>
                <w:rFonts w:eastAsia="Times New Roman"/>
                <w:color w:val="000000"/>
                <w:sz w:val="20"/>
                <w:szCs w:val="20"/>
              </w:rPr>
              <w:t>Viac ako 5</w:t>
            </w:r>
            <w:r w:rsidR="00C9571F">
              <w:rPr>
                <w:rFonts w:eastAsia="Times New Roman"/>
                <w:color w:val="000000"/>
                <w:sz w:val="20"/>
                <w:szCs w:val="20"/>
              </w:rPr>
              <w:t>0</w:t>
            </w:r>
            <w:r w:rsidR="00C9571F"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7A024533" w:rsidR="00C9571F" w:rsidRPr="00EF3712" w:rsidRDefault="304C9921" w:rsidP="00C9571F">
            <w:pPr>
              <w:spacing w:line="240" w:lineRule="auto"/>
              <w:jc w:val="both"/>
              <w:rPr>
                <w:rFonts w:eastAsia="Times New Roman"/>
                <w:color w:val="000000"/>
                <w:sz w:val="20"/>
                <w:szCs w:val="20"/>
              </w:rPr>
            </w:pPr>
            <w:r w:rsidRPr="304C9921">
              <w:rPr>
                <w:rFonts w:eastAsia="Times New Roman"/>
                <w:color w:val="000000" w:themeColor="text1"/>
                <w:sz w:val="20"/>
                <w:szCs w:val="20"/>
              </w:rPr>
              <w:t xml:space="preserve">Odhaduje sa interval veľkosti populácie v území do 500  jedincov (aktuálny údaj / z SDF), </w:t>
            </w:r>
            <w:r w:rsidRPr="304C9921">
              <w:rPr>
                <w:rFonts w:eastAsia="Times New Roman"/>
                <w:color w:val="000000" w:themeColor="text1"/>
                <w:sz w:val="20"/>
                <w:szCs w:val="20"/>
              </w:rPr>
              <w:t>odhad je pravdepodobne vyšší ako skutočný stav, bud</w:t>
            </w:r>
            <w:r w:rsidRPr="304C9921">
              <w:rPr>
                <w:rFonts w:eastAsia="Times New Roman"/>
                <w:color w:val="000000" w:themeColor="text1"/>
                <w:sz w:val="20"/>
                <w:szCs w:val="20"/>
              </w:rPr>
              <w:t>e potrebný komplexnejší monitoring populácie druhu.</w:t>
            </w:r>
          </w:p>
        </w:tc>
      </w:tr>
      <w:tr w:rsidR="00C9571F" w:rsidRPr="0000010E" w14:paraId="6902F1B3" w14:textId="77777777" w:rsidTr="304C992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343DC204" w:rsidR="00C9571F" w:rsidRPr="009A5B90" w:rsidRDefault="304C9921" w:rsidP="00C9571F">
            <w:pPr>
              <w:spacing w:line="240" w:lineRule="auto"/>
              <w:jc w:val="center"/>
              <w:rPr>
                <w:rFonts w:eastAsia="Times New Roman"/>
                <w:color w:val="000000"/>
                <w:sz w:val="20"/>
                <w:szCs w:val="20"/>
              </w:rPr>
            </w:pPr>
            <w:r w:rsidRPr="304C9921">
              <w:rPr>
                <w:rFonts w:eastAsia="Times New Roman"/>
                <w:sz w:val="20"/>
                <w:szCs w:val="20"/>
              </w:rPr>
              <w:t>najmenej 2</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304C992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07125638" w14:textId="77777777" w:rsidR="00FA5EE0" w:rsidRDefault="00FA5EE0" w:rsidP="00FA5EE0">
      <w:pPr>
        <w:pStyle w:val="Zkladntext"/>
        <w:widowControl w:val="0"/>
        <w:jc w:val="both"/>
        <w:rPr>
          <w:lang w:val="sk-SK"/>
        </w:rPr>
      </w:pPr>
    </w:p>
    <w:p w14:paraId="52E13972" w14:textId="77777777" w:rsidR="00FA5EE0" w:rsidRDefault="00FA5EE0" w:rsidP="00FA5EE0">
      <w:pPr>
        <w:pStyle w:val="Zkladntext"/>
        <w:widowControl w:val="0"/>
        <w:jc w:val="both"/>
        <w:rPr>
          <w:lang w:val="sk-SK"/>
        </w:rPr>
      </w:pPr>
    </w:p>
    <w:p w14:paraId="3966B728" w14:textId="65824D6D" w:rsidR="00C9571F" w:rsidRDefault="5E9E9FBE" w:rsidP="00FA5EE0">
      <w:pPr>
        <w:pStyle w:val="Zkladntext"/>
        <w:widowControl w:val="0"/>
        <w:jc w:val="both"/>
        <w:rPr>
          <w:color w:val="000000" w:themeColor="text1"/>
        </w:rPr>
      </w:pPr>
      <w:r w:rsidRPr="5E9E9FBE">
        <w:rPr>
          <w:lang w:val="sk-SK"/>
        </w:rPr>
        <w:t xml:space="preserve">Zlepšenie stavu druhu </w:t>
      </w:r>
      <w:r w:rsidRPr="5E9E9FBE">
        <w:rPr>
          <w:b/>
          <w:bCs/>
          <w:i/>
          <w:iCs/>
          <w:lang w:val="sk-SK"/>
        </w:rPr>
        <w:t xml:space="preserve">Vertigo moulinsiana </w:t>
      </w:r>
      <w:r w:rsidRPr="5E9E9FBE">
        <w:rPr>
          <w:color w:val="000000" w:themeColor="text1"/>
          <w:lang w:val="sk-SK"/>
        </w:rPr>
        <w:t>v súlade s nasledovnými atribútmi a cieľovými hodnotami: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188"/>
        <w:gridCol w:w="1887"/>
        <w:gridCol w:w="4949"/>
      </w:tblGrid>
      <w:tr w:rsidR="5E9E9FBE" w:rsidRPr="00FA5EE0" w14:paraId="5FE0B7F0" w14:textId="77777777" w:rsidTr="00FA5EE0">
        <w:trPr>
          <w:trHeight w:val="300"/>
        </w:trPr>
        <w:tc>
          <w:tcPr>
            <w:tcW w:w="1035" w:type="dxa"/>
            <w:tcMar>
              <w:left w:w="60" w:type="dxa"/>
              <w:right w:w="60" w:type="dxa"/>
            </w:tcMar>
            <w:vAlign w:val="center"/>
          </w:tcPr>
          <w:p w14:paraId="72004AF9" w14:textId="38C0FB0C" w:rsidR="5E9E9FBE" w:rsidRPr="00FA5EE0" w:rsidRDefault="5E9E9FBE" w:rsidP="5E9E9FBE">
            <w:pPr>
              <w:spacing w:line="240" w:lineRule="auto"/>
              <w:rPr>
                <w:rFonts w:eastAsia="Times New Roman"/>
                <w:color w:val="000000" w:themeColor="text1"/>
                <w:sz w:val="19"/>
                <w:szCs w:val="19"/>
              </w:rPr>
            </w:pPr>
            <w:r w:rsidRPr="00FA5EE0">
              <w:rPr>
                <w:rFonts w:eastAsia="Times New Roman"/>
                <w:b/>
                <w:bCs/>
                <w:color w:val="000000" w:themeColor="text1"/>
                <w:sz w:val="19"/>
                <w:szCs w:val="19"/>
              </w:rPr>
              <w:t>Parameter</w:t>
            </w:r>
          </w:p>
        </w:tc>
        <w:tc>
          <w:tcPr>
            <w:tcW w:w="1188" w:type="dxa"/>
            <w:tcMar>
              <w:left w:w="60" w:type="dxa"/>
              <w:right w:w="60" w:type="dxa"/>
            </w:tcMar>
            <w:vAlign w:val="center"/>
          </w:tcPr>
          <w:p w14:paraId="42C3F697" w14:textId="655D3644" w:rsidR="5E9E9FBE" w:rsidRPr="00FA5EE0" w:rsidRDefault="5E9E9FBE" w:rsidP="5E9E9FBE">
            <w:pPr>
              <w:spacing w:line="240" w:lineRule="auto"/>
              <w:rPr>
                <w:rFonts w:eastAsia="Times New Roman"/>
                <w:color w:val="000000" w:themeColor="text1"/>
                <w:sz w:val="19"/>
                <w:szCs w:val="19"/>
              </w:rPr>
            </w:pPr>
            <w:r w:rsidRPr="00FA5EE0">
              <w:rPr>
                <w:rFonts w:eastAsia="Times New Roman"/>
                <w:b/>
                <w:bCs/>
                <w:color w:val="000000" w:themeColor="text1"/>
                <w:sz w:val="19"/>
                <w:szCs w:val="19"/>
              </w:rPr>
              <w:t>Merateľnosť</w:t>
            </w:r>
          </w:p>
        </w:tc>
        <w:tc>
          <w:tcPr>
            <w:tcW w:w="1887" w:type="dxa"/>
            <w:tcMar>
              <w:left w:w="60" w:type="dxa"/>
              <w:right w:w="60" w:type="dxa"/>
            </w:tcMar>
            <w:vAlign w:val="center"/>
          </w:tcPr>
          <w:p w14:paraId="4059FC98" w14:textId="5787C58C" w:rsidR="5E9E9FBE" w:rsidRPr="00FA5EE0" w:rsidRDefault="5E9E9FBE" w:rsidP="5E9E9FBE">
            <w:pPr>
              <w:spacing w:line="240" w:lineRule="auto"/>
              <w:rPr>
                <w:rFonts w:eastAsia="Times New Roman"/>
                <w:color w:val="000000" w:themeColor="text1"/>
                <w:sz w:val="19"/>
                <w:szCs w:val="19"/>
              </w:rPr>
            </w:pPr>
            <w:r w:rsidRPr="00FA5EE0">
              <w:rPr>
                <w:rFonts w:eastAsia="Times New Roman"/>
                <w:b/>
                <w:bCs/>
                <w:color w:val="000000" w:themeColor="text1"/>
                <w:sz w:val="19"/>
                <w:szCs w:val="19"/>
              </w:rPr>
              <w:t>Cieľová hodnota</w:t>
            </w:r>
          </w:p>
        </w:tc>
        <w:tc>
          <w:tcPr>
            <w:tcW w:w="4949" w:type="dxa"/>
            <w:tcMar>
              <w:left w:w="60" w:type="dxa"/>
              <w:right w:w="60" w:type="dxa"/>
            </w:tcMar>
            <w:vAlign w:val="center"/>
          </w:tcPr>
          <w:p w14:paraId="30B215E5" w14:textId="7A50EB12" w:rsidR="5E9E9FBE" w:rsidRPr="00FA5EE0" w:rsidRDefault="5E9E9FBE" w:rsidP="5E9E9FBE">
            <w:pPr>
              <w:spacing w:line="240" w:lineRule="auto"/>
              <w:rPr>
                <w:rFonts w:eastAsia="Times New Roman"/>
                <w:color w:val="000000" w:themeColor="text1"/>
                <w:sz w:val="19"/>
                <w:szCs w:val="19"/>
              </w:rPr>
            </w:pPr>
            <w:r w:rsidRPr="00FA5EE0">
              <w:rPr>
                <w:rFonts w:eastAsia="Times New Roman"/>
                <w:b/>
                <w:bCs/>
                <w:color w:val="000000" w:themeColor="text1"/>
                <w:sz w:val="19"/>
                <w:szCs w:val="19"/>
              </w:rPr>
              <w:t>Doplnkové informácie</w:t>
            </w:r>
          </w:p>
        </w:tc>
      </w:tr>
      <w:tr w:rsidR="5E9E9FBE" w:rsidRPr="00FA5EE0" w14:paraId="4A585730" w14:textId="77777777" w:rsidTr="00FA5EE0">
        <w:trPr>
          <w:trHeight w:val="300"/>
        </w:trPr>
        <w:tc>
          <w:tcPr>
            <w:tcW w:w="1035" w:type="dxa"/>
            <w:tcMar>
              <w:left w:w="60" w:type="dxa"/>
              <w:right w:w="60" w:type="dxa"/>
            </w:tcMar>
            <w:vAlign w:val="center"/>
          </w:tcPr>
          <w:p w14:paraId="4D6387AA" w14:textId="22E08B75"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Veľkosť populácie</w:t>
            </w:r>
          </w:p>
        </w:tc>
        <w:tc>
          <w:tcPr>
            <w:tcW w:w="1188" w:type="dxa"/>
            <w:tcMar>
              <w:left w:w="60" w:type="dxa"/>
              <w:right w:w="60" w:type="dxa"/>
            </w:tcMar>
            <w:vAlign w:val="center"/>
          </w:tcPr>
          <w:p w14:paraId="47A2599C" w14:textId="7D6059A7"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počet jedincov</w:t>
            </w:r>
          </w:p>
        </w:tc>
        <w:tc>
          <w:tcPr>
            <w:tcW w:w="1887" w:type="dxa"/>
            <w:tcMar>
              <w:left w:w="60" w:type="dxa"/>
              <w:right w:w="60" w:type="dxa"/>
            </w:tcMar>
            <w:vAlign w:val="center"/>
          </w:tcPr>
          <w:p w14:paraId="5E3ED734" w14:textId="58C96423"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 xml:space="preserve">najmenej </w:t>
            </w:r>
            <w:r w:rsidR="00FA5EE0" w:rsidRPr="00FA5EE0">
              <w:rPr>
                <w:rFonts w:eastAsia="Times New Roman"/>
                <w:color w:val="000000" w:themeColor="text1"/>
                <w:sz w:val="19"/>
                <w:szCs w:val="19"/>
              </w:rPr>
              <w:t>3</w:t>
            </w:r>
            <w:r w:rsidRPr="00FA5EE0">
              <w:rPr>
                <w:rFonts w:eastAsia="Times New Roman"/>
                <w:color w:val="000000" w:themeColor="text1"/>
                <w:sz w:val="19"/>
                <w:szCs w:val="19"/>
              </w:rPr>
              <w:t>00</w:t>
            </w:r>
          </w:p>
        </w:tc>
        <w:tc>
          <w:tcPr>
            <w:tcW w:w="4949" w:type="dxa"/>
            <w:tcMar>
              <w:left w:w="60" w:type="dxa"/>
              <w:right w:w="60" w:type="dxa"/>
            </w:tcMar>
            <w:vAlign w:val="center"/>
          </w:tcPr>
          <w:p w14:paraId="3AEF0FFB" w14:textId="5848599A" w:rsidR="5E9E9FBE" w:rsidRPr="00FA5EE0" w:rsidRDefault="5E9E9FBE" w:rsidP="00FA5EE0">
            <w:pPr>
              <w:spacing w:line="240" w:lineRule="auto"/>
              <w:rPr>
                <w:rFonts w:eastAsia="Times New Roman"/>
                <w:color w:val="000000" w:themeColor="text1"/>
                <w:sz w:val="19"/>
                <w:szCs w:val="19"/>
              </w:rPr>
            </w:pPr>
            <w:r w:rsidRPr="00FA5EE0">
              <w:rPr>
                <w:rFonts w:eastAsia="Times New Roman"/>
                <w:color w:val="000000" w:themeColor="text1"/>
                <w:sz w:val="19"/>
                <w:szCs w:val="19"/>
              </w:rPr>
              <w:t>Podľa SDF</w:t>
            </w:r>
            <w:r w:rsidR="00FA5EE0" w:rsidRPr="00FA5EE0">
              <w:rPr>
                <w:rFonts w:eastAsia="Times New Roman"/>
                <w:color w:val="000000" w:themeColor="text1"/>
                <w:sz w:val="19"/>
                <w:szCs w:val="19"/>
              </w:rPr>
              <w:t xml:space="preserve"> je evidovaných </w:t>
            </w:r>
            <w:r w:rsidRPr="00FA5EE0">
              <w:rPr>
                <w:rFonts w:eastAsia="Times New Roman"/>
                <w:color w:val="000000" w:themeColor="text1"/>
                <w:sz w:val="19"/>
                <w:szCs w:val="19"/>
              </w:rPr>
              <w:t xml:space="preserve">200 až 400 jedincov. </w:t>
            </w:r>
            <w:r w:rsidR="00FA5EE0" w:rsidRPr="00FA5EE0">
              <w:rPr>
                <w:rFonts w:eastAsia="Times New Roman"/>
                <w:color w:val="000000" w:themeColor="text1"/>
                <w:sz w:val="19"/>
                <w:szCs w:val="19"/>
              </w:rPr>
              <w:t>Potrebné zvýšenie početnosti populácie na min. 300 jedincov</w:t>
            </w:r>
          </w:p>
        </w:tc>
      </w:tr>
      <w:tr w:rsidR="5E9E9FBE" w:rsidRPr="00FA5EE0" w14:paraId="63318569" w14:textId="77777777" w:rsidTr="00FA5EE0">
        <w:trPr>
          <w:trHeight w:val="1305"/>
        </w:trPr>
        <w:tc>
          <w:tcPr>
            <w:tcW w:w="1035" w:type="dxa"/>
            <w:tcMar>
              <w:left w:w="60" w:type="dxa"/>
              <w:right w:w="60" w:type="dxa"/>
            </w:tcMar>
            <w:vAlign w:val="center"/>
          </w:tcPr>
          <w:p w14:paraId="0853EC60" w14:textId="77C57ADE" w:rsidR="5E9E9FBE" w:rsidRPr="00FA5EE0" w:rsidRDefault="5E9E9FBE" w:rsidP="5E9E9FBE">
            <w:pPr>
              <w:spacing w:line="240" w:lineRule="auto"/>
              <w:rPr>
                <w:rFonts w:eastAsia="Arial"/>
                <w:color w:val="000000" w:themeColor="text1"/>
                <w:sz w:val="19"/>
                <w:szCs w:val="19"/>
              </w:rPr>
            </w:pPr>
            <w:r w:rsidRPr="00FA5EE0">
              <w:rPr>
                <w:rFonts w:eastAsia="Arial"/>
                <w:color w:val="000000" w:themeColor="text1"/>
                <w:sz w:val="19"/>
                <w:szCs w:val="19"/>
              </w:rPr>
              <w:t>kvalita populácie</w:t>
            </w:r>
          </w:p>
        </w:tc>
        <w:tc>
          <w:tcPr>
            <w:tcW w:w="1188" w:type="dxa"/>
            <w:tcMar>
              <w:left w:w="60" w:type="dxa"/>
              <w:right w:w="60" w:type="dxa"/>
            </w:tcMar>
            <w:vAlign w:val="center"/>
          </w:tcPr>
          <w:p w14:paraId="3AE7BE1B" w14:textId="5B2D7AD0"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počet jedincov</w:t>
            </w:r>
          </w:p>
        </w:tc>
        <w:tc>
          <w:tcPr>
            <w:tcW w:w="1887" w:type="dxa"/>
            <w:tcMar>
              <w:left w:w="60" w:type="dxa"/>
              <w:right w:w="60" w:type="dxa"/>
            </w:tcMar>
            <w:vAlign w:val="center"/>
          </w:tcPr>
          <w:p w14:paraId="66B29B6D" w14:textId="50DC41CF" w:rsidR="5E9E9FBE" w:rsidRPr="00FA5EE0" w:rsidRDefault="00FA5EE0" w:rsidP="5E9E9FBE">
            <w:pPr>
              <w:spacing w:line="240" w:lineRule="auto"/>
              <w:rPr>
                <w:rFonts w:eastAsia="Arial"/>
                <w:color w:val="000000" w:themeColor="text1"/>
                <w:sz w:val="19"/>
                <w:szCs w:val="19"/>
              </w:rPr>
            </w:pPr>
            <w:r>
              <w:rPr>
                <w:rFonts w:eastAsia="Arial"/>
                <w:color w:val="000000" w:themeColor="text1"/>
                <w:sz w:val="19"/>
                <w:szCs w:val="19"/>
              </w:rPr>
              <w:t>Počet jedincov vo vzorke na monitorovacej ploche z 12 povrchovej vrstvy pôdy a vegetácie na povrchu</w:t>
            </w:r>
          </w:p>
        </w:tc>
        <w:tc>
          <w:tcPr>
            <w:tcW w:w="4949" w:type="dxa"/>
            <w:tcMar>
              <w:left w:w="60" w:type="dxa"/>
              <w:right w:w="60" w:type="dxa"/>
            </w:tcMar>
            <w:vAlign w:val="center"/>
          </w:tcPr>
          <w:p w14:paraId="705EBF22" w14:textId="61F57AC4" w:rsidR="5E9E9FBE" w:rsidRPr="00FA5EE0" w:rsidRDefault="5E9E9FBE" w:rsidP="5E9E9FBE">
            <w:pPr>
              <w:spacing w:after="0" w:line="240" w:lineRule="auto"/>
              <w:rPr>
                <w:rFonts w:eastAsia="Arial"/>
                <w:color w:val="000000" w:themeColor="text1"/>
                <w:sz w:val="19"/>
                <w:szCs w:val="19"/>
              </w:rPr>
            </w:pPr>
          </w:p>
          <w:p w14:paraId="222E8FC1" w14:textId="54E6CB8F" w:rsidR="5E9E9FBE" w:rsidRPr="00FA5EE0" w:rsidRDefault="5E9E9FBE" w:rsidP="5E9E9FBE">
            <w:pPr>
              <w:spacing w:line="240" w:lineRule="auto"/>
              <w:rPr>
                <w:rFonts w:eastAsia="Arial"/>
                <w:color w:val="000000" w:themeColor="text1"/>
                <w:sz w:val="19"/>
                <w:szCs w:val="19"/>
              </w:rPr>
            </w:pPr>
            <w:r w:rsidRPr="00FA5EE0">
              <w:rPr>
                <w:rFonts w:eastAsia="Arial"/>
                <w:color w:val="000000" w:themeColor="text1"/>
                <w:sz w:val="19"/>
                <w:szCs w:val="19"/>
              </w:rPr>
              <w:t>V území sa nachádza trvalá monitorovacia lokalita</w:t>
            </w:r>
            <w:r w:rsidR="00FA5EE0">
              <w:rPr>
                <w:rFonts w:eastAsia="Arial"/>
                <w:color w:val="000000" w:themeColor="text1"/>
                <w:sz w:val="19"/>
                <w:szCs w:val="19"/>
              </w:rPr>
              <w:t xml:space="preserve"> – potrebné zvýšiť pravidelné množstvo monitorovaných jedincov vo vzorke o 10 – 20 jedincov.</w:t>
            </w:r>
          </w:p>
        </w:tc>
      </w:tr>
      <w:tr w:rsidR="5E9E9FBE" w:rsidRPr="00FA5EE0" w14:paraId="3F4632F7" w14:textId="77777777" w:rsidTr="00FA5EE0">
        <w:trPr>
          <w:trHeight w:val="1305"/>
        </w:trPr>
        <w:tc>
          <w:tcPr>
            <w:tcW w:w="1035" w:type="dxa"/>
            <w:tcMar>
              <w:left w:w="60" w:type="dxa"/>
              <w:right w:w="60" w:type="dxa"/>
            </w:tcMar>
            <w:vAlign w:val="center"/>
          </w:tcPr>
          <w:p w14:paraId="37D87CE9" w14:textId="4A3B0FCD"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 xml:space="preserve">Rozloha biotopu </w:t>
            </w:r>
          </w:p>
        </w:tc>
        <w:tc>
          <w:tcPr>
            <w:tcW w:w="1188" w:type="dxa"/>
            <w:tcMar>
              <w:left w:w="60" w:type="dxa"/>
              <w:right w:w="60" w:type="dxa"/>
            </w:tcMar>
            <w:vAlign w:val="center"/>
          </w:tcPr>
          <w:p w14:paraId="3E6D5998" w14:textId="569935F2"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ha</w:t>
            </w:r>
          </w:p>
        </w:tc>
        <w:tc>
          <w:tcPr>
            <w:tcW w:w="1887" w:type="dxa"/>
            <w:tcMar>
              <w:left w:w="60" w:type="dxa"/>
              <w:right w:w="60" w:type="dxa"/>
            </w:tcMar>
            <w:vAlign w:val="center"/>
          </w:tcPr>
          <w:p w14:paraId="300D7B18" w14:textId="3C03F551" w:rsidR="5E9E9FBE" w:rsidRPr="00FA5EE0" w:rsidRDefault="5E9E9FBE" w:rsidP="5E9E9FBE">
            <w:pPr>
              <w:spacing w:line="240" w:lineRule="auto"/>
              <w:rPr>
                <w:rFonts w:eastAsia="Times New Roman"/>
                <w:color w:val="000000" w:themeColor="text1"/>
                <w:sz w:val="19"/>
                <w:szCs w:val="19"/>
              </w:rPr>
            </w:pPr>
            <w:r w:rsidRPr="00FA5EE0">
              <w:rPr>
                <w:rFonts w:eastAsia="Times New Roman"/>
                <w:color w:val="000000" w:themeColor="text1"/>
                <w:sz w:val="19"/>
                <w:szCs w:val="19"/>
              </w:rPr>
              <w:t xml:space="preserve">Min. </w:t>
            </w:r>
            <w:r w:rsidR="00FA5EE0" w:rsidRPr="00FA5EE0">
              <w:rPr>
                <w:rFonts w:eastAsia="Times New Roman"/>
                <w:sz w:val="19"/>
                <w:szCs w:val="19"/>
              </w:rPr>
              <w:t>0,</w:t>
            </w:r>
            <w:r w:rsidRPr="00FA5EE0">
              <w:rPr>
                <w:rFonts w:eastAsia="Times New Roman"/>
                <w:sz w:val="19"/>
                <w:szCs w:val="19"/>
              </w:rPr>
              <w:t xml:space="preserve">17 </w:t>
            </w:r>
            <w:r w:rsidRPr="00FA5EE0">
              <w:rPr>
                <w:rFonts w:eastAsia="Times New Roman"/>
                <w:color w:val="000000" w:themeColor="text1"/>
                <w:sz w:val="19"/>
                <w:szCs w:val="19"/>
              </w:rPr>
              <w:t>ha</w:t>
            </w:r>
          </w:p>
        </w:tc>
        <w:tc>
          <w:tcPr>
            <w:tcW w:w="4949" w:type="dxa"/>
            <w:tcMar>
              <w:left w:w="60" w:type="dxa"/>
              <w:right w:w="60" w:type="dxa"/>
            </w:tcMar>
            <w:vAlign w:val="center"/>
          </w:tcPr>
          <w:p w14:paraId="444F00AE" w14:textId="1B61E666" w:rsidR="5E9E9FBE" w:rsidRPr="00FA5EE0" w:rsidRDefault="5E9E9FBE" w:rsidP="5E9E9FBE">
            <w:pPr>
              <w:spacing w:line="240" w:lineRule="auto"/>
              <w:rPr>
                <w:rFonts w:eastAsia="Arial"/>
                <w:color w:val="000000" w:themeColor="text1"/>
                <w:sz w:val="19"/>
                <w:szCs w:val="19"/>
              </w:rPr>
            </w:pPr>
            <w:r w:rsidRPr="00FA5EE0">
              <w:rPr>
                <w:rFonts w:eastAsia="Arial"/>
                <w:color w:val="000000" w:themeColor="text1"/>
                <w:sz w:val="19"/>
                <w:szCs w:val="19"/>
              </w:rPr>
              <w:t>zachovať biotop druhu na minimálnej výmere 0,17 ha</w:t>
            </w:r>
            <w:r w:rsidR="00D52908">
              <w:rPr>
                <w:rFonts w:eastAsia="Arial"/>
                <w:color w:val="000000" w:themeColor="text1"/>
                <w:sz w:val="19"/>
                <w:szCs w:val="19"/>
              </w:rPr>
              <w:t>, bez nežiadúcich vplyvov (negatívne z</w:t>
            </w:r>
            <w:bookmarkStart w:id="0" w:name="_GoBack"/>
            <w:bookmarkEnd w:id="0"/>
            <w:r w:rsidR="00D52908">
              <w:rPr>
                <w:rFonts w:eastAsia="Arial"/>
                <w:color w:val="000000" w:themeColor="text1"/>
                <w:sz w:val="19"/>
                <w:szCs w:val="19"/>
              </w:rPr>
              <w:t>meny vodného režimu, sukcesia)</w:t>
            </w:r>
            <w:commentRangeStart w:id="1"/>
          </w:p>
        </w:tc>
      </w:tr>
    </w:tbl>
    <w:p w14:paraId="0ABAEA77" w14:textId="38904639" w:rsidR="00C9571F" w:rsidRDefault="00C9571F" w:rsidP="5E9E9FBE">
      <w:pPr>
        <w:widowControl w:val="0"/>
        <w:spacing w:after="120" w:line="240" w:lineRule="auto"/>
        <w:jc w:val="both"/>
        <w:rPr>
          <w:rFonts w:eastAsia="Times New Roman"/>
          <w:szCs w:val="24"/>
        </w:rPr>
      </w:pPr>
    </w:p>
    <w:p w14:paraId="254A1A3B" w14:textId="3BC4FC6D" w:rsidR="00C9571F" w:rsidRDefault="00C9571F" w:rsidP="5E9E9FBE"/>
    <w:sectPr w:rsidR="00C9571F">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54EA6B" w16cex:dateUtc="2023-06-27T12:38:13.833Z"/>
</w16cex:commentsExtensible>
</file>

<file path=word/commentsIds.xml><?xml version="1.0" encoding="utf-8"?>
<w16cid:commentsIds xmlns:mc="http://schemas.openxmlformats.org/markup-compatibility/2006" xmlns:w16cid="http://schemas.microsoft.com/office/word/2016/wordml/cid" mc:Ignorable="w16cid">
  <w16cid:commentId w16cid:paraId="56BE0E57" w16cid:durableId="4354EA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D3D2B"/>
    <w:rsid w:val="000D405A"/>
    <w:rsid w:val="000E05DA"/>
    <w:rsid w:val="0010210D"/>
    <w:rsid w:val="00140708"/>
    <w:rsid w:val="00171BEC"/>
    <w:rsid w:val="001B2C25"/>
    <w:rsid w:val="001E6775"/>
    <w:rsid w:val="00203B08"/>
    <w:rsid w:val="00240459"/>
    <w:rsid w:val="003509FA"/>
    <w:rsid w:val="003E7F90"/>
    <w:rsid w:val="004478C1"/>
    <w:rsid w:val="004D1387"/>
    <w:rsid w:val="004F7434"/>
    <w:rsid w:val="00504B06"/>
    <w:rsid w:val="0054207C"/>
    <w:rsid w:val="00562BB2"/>
    <w:rsid w:val="005C00AB"/>
    <w:rsid w:val="009667BE"/>
    <w:rsid w:val="009F74C3"/>
    <w:rsid w:val="00A4711A"/>
    <w:rsid w:val="00AB2A2D"/>
    <w:rsid w:val="00B032A2"/>
    <w:rsid w:val="00B051D1"/>
    <w:rsid w:val="00BF1520"/>
    <w:rsid w:val="00C65C57"/>
    <w:rsid w:val="00C9571F"/>
    <w:rsid w:val="00D17D05"/>
    <w:rsid w:val="00D52908"/>
    <w:rsid w:val="00D76319"/>
    <w:rsid w:val="00D77700"/>
    <w:rsid w:val="00E64259"/>
    <w:rsid w:val="00EC67A6"/>
    <w:rsid w:val="00F0318A"/>
    <w:rsid w:val="00F436A8"/>
    <w:rsid w:val="00F9573C"/>
    <w:rsid w:val="00FA5EE0"/>
    <w:rsid w:val="304C9921"/>
    <w:rsid w:val="5E9E9FBE"/>
    <w:rsid w:val="77A6A6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48911052">
      <w:bodyDiv w:val="1"/>
      <w:marLeft w:val="0"/>
      <w:marRight w:val="0"/>
      <w:marTop w:val="0"/>
      <w:marBottom w:val="0"/>
      <w:divBdr>
        <w:top w:val="none" w:sz="0" w:space="0" w:color="auto"/>
        <w:left w:val="none" w:sz="0" w:space="0" w:color="auto"/>
        <w:bottom w:val="none" w:sz="0" w:space="0" w:color="auto"/>
        <w:right w:val="none" w:sz="0" w:space="0" w:color="auto"/>
      </w:divBdr>
    </w:div>
    <w:div w:id="108287324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5107668">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3199886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18451634">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0a1112869ba7470c"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d90d685f60314281"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4810-D6C6-4ED0-8400-56E3D1A9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9</cp:revision>
  <dcterms:created xsi:type="dcterms:W3CDTF">2023-05-25T12:41:00Z</dcterms:created>
  <dcterms:modified xsi:type="dcterms:W3CDTF">2023-08-04T08:28:00Z</dcterms:modified>
</cp:coreProperties>
</file>