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1CAE6EF4" w:rsidR="000E05DA" w:rsidRDefault="00F30A19" w:rsidP="008D7F41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SKUEV0564</w:t>
      </w:r>
      <w:r w:rsidR="000E05DA">
        <w:rPr>
          <w:b/>
          <w:sz w:val="28"/>
          <w:szCs w:val="28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>Dubová</w:t>
      </w:r>
    </w:p>
    <w:p w14:paraId="6DE8C982" w14:textId="7A80E29A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78C41350" w14:textId="3D30E38C" w:rsidR="00171BEC" w:rsidRPr="00775056" w:rsidRDefault="00140708" w:rsidP="008D7F41">
      <w:pPr>
        <w:pStyle w:val="Zkladntext"/>
        <w:widowControl w:val="0"/>
        <w:spacing w:after="0"/>
        <w:jc w:val="both"/>
        <w:rPr>
          <w:b/>
          <w:color w:val="000000"/>
          <w:shd w:val="clear" w:color="auto" w:fill="FFFFFF"/>
        </w:rPr>
      </w:pPr>
      <w:r>
        <w:rPr>
          <w:color w:val="000000"/>
          <w:lang w:val="sk-SK"/>
        </w:rPr>
        <w:t xml:space="preserve">Zachovanie </w:t>
      </w:r>
      <w:r w:rsidR="00171BEC" w:rsidRPr="00775056">
        <w:rPr>
          <w:color w:val="000000"/>
        </w:rPr>
        <w:t xml:space="preserve">stavu </w:t>
      </w:r>
      <w:r w:rsidR="00171BEC">
        <w:rPr>
          <w:color w:val="000000"/>
        </w:rPr>
        <w:t xml:space="preserve">biotopu </w:t>
      </w:r>
      <w:r w:rsidR="00171BEC" w:rsidRPr="00F95CDE">
        <w:rPr>
          <w:b/>
          <w:color w:val="000000"/>
        </w:rPr>
        <w:t xml:space="preserve">Ls1.3 </w:t>
      </w:r>
      <w:r w:rsidR="00171BEC" w:rsidRPr="00F95CDE">
        <w:rPr>
          <w:b/>
          <w:color w:val="000000"/>
          <w:shd w:val="clear" w:color="auto" w:fill="FFFFFF"/>
        </w:rPr>
        <w:t>(</w:t>
      </w:r>
      <w:r w:rsidR="00171BEC" w:rsidRPr="00F95CDE">
        <w:rPr>
          <w:b/>
          <w:color w:val="000000"/>
          <w:lang w:eastAsia="sk-SK"/>
        </w:rPr>
        <w:t>91E0*</w:t>
      </w:r>
      <w:r w:rsidR="00171BEC" w:rsidRPr="00F95CDE">
        <w:rPr>
          <w:b/>
          <w:color w:val="000000"/>
          <w:shd w:val="clear" w:color="auto" w:fill="FFFFFF"/>
        </w:rPr>
        <w:t>) Jaseňovo-jelšové podhorské lužné lesy</w:t>
      </w:r>
      <w:r w:rsidR="00171BEC" w:rsidRPr="00775056">
        <w:rPr>
          <w:color w:val="000000"/>
        </w:rPr>
        <w:t xml:space="preserve"> za splnenia nasledovných atribútov</w:t>
      </w:r>
      <w:r w:rsidR="00171BEC" w:rsidRPr="00775056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134"/>
        <w:gridCol w:w="5128"/>
      </w:tblGrid>
      <w:tr w:rsidR="00171BEC" w:rsidRPr="0000010E" w14:paraId="53AAC3D9" w14:textId="77777777" w:rsidTr="6B9AF6BE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DEDF" w14:textId="77777777" w:rsidR="00171BEC" w:rsidRPr="00775056" w:rsidRDefault="00171BEC" w:rsidP="008D7F4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DFC2" w14:textId="77777777" w:rsidR="00171BEC" w:rsidRPr="00775056" w:rsidRDefault="00171BEC" w:rsidP="008D7F4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1203" w14:textId="77777777" w:rsidR="00171BEC" w:rsidRPr="00775056" w:rsidRDefault="00171BEC" w:rsidP="008D7F4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C39" w14:textId="77777777" w:rsidR="00171BEC" w:rsidRPr="00775056" w:rsidRDefault="00171BEC" w:rsidP="008D7F4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171BEC" w:rsidRPr="0000010E" w14:paraId="29A16D52" w14:textId="77777777" w:rsidTr="6B9AF6BE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3E10" w14:textId="77777777" w:rsidR="00171BEC" w:rsidRPr="00775056" w:rsidRDefault="00171BEC" w:rsidP="008D7F41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CAAB" w14:textId="77777777" w:rsidR="00171BEC" w:rsidRPr="00775056" w:rsidRDefault="00171BEC" w:rsidP="008D7F41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00AD" w14:textId="40939586" w:rsidR="00171BEC" w:rsidRPr="00775056" w:rsidRDefault="00140708" w:rsidP="008D7F41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171BEC" w:rsidRPr="00775056">
              <w:rPr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BEBF" w14:textId="77777777" w:rsidR="00171BEC" w:rsidRPr="00775056" w:rsidRDefault="00171BEC" w:rsidP="008D7F41">
            <w:pPr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171BEC" w:rsidRPr="0000010E" w14:paraId="5CBA2FFE" w14:textId="77777777" w:rsidTr="6B9AF6BE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EBA4A7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18678B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492745" w14:textId="77777777" w:rsidR="00171BEC" w:rsidRPr="00775056" w:rsidRDefault="00171BEC" w:rsidP="008D7F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7471DC" w14:textId="77777777" w:rsidR="00171BEC" w:rsidRPr="00AE6C2D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E6C2D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1D40DF10" w14:textId="77777777" w:rsidR="00171BEC" w:rsidRPr="00AE6C2D" w:rsidRDefault="00171BEC" w:rsidP="008D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E6C2D">
              <w:rPr>
                <w:i/>
                <w:sz w:val="18"/>
                <w:szCs w:val="18"/>
              </w:rPr>
              <w:t xml:space="preserve">Acer </w:t>
            </w:r>
            <w:proofErr w:type="spellStart"/>
            <w:r w:rsidRPr="00AE6C2D">
              <w:rPr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i/>
                <w:sz w:val="18"/>
                <w:szCs w:val="18"/>
              </w:rPr>
              <w:t>,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i/>
                <w:sz w:val="18"/>
                <w:szCs w:val="18"/>
              </w:rPr>
              <w:t>, S.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cordata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171BEC" w:rsidRPr="0000010E" w14:paraId="0DBF5419" w14:textId="77777777" w:rsidTr="6B9AF6BE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D0128A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642E38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4DFE60" w14:textId="77777777" w:rsidR="00171BEC" w:rsidRPr="00775056" w:rsidRDefault="00171BEC" w:rsidP="008D7F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246F29" w14:textId="77777777" w:rsidR="00171BEC" w:rsidRPr="00775056" w:rsidRDefault="00171BEC" w:rsidP="008D7F41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47C939E8" w14:textId="77777777" w:rsidR="00171BEC" w:rsidRPr="00AE6C2D" w:rsidRDefault="00171BEC" w:rsidP="008D7F41">
            <w:pPr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sp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AE6C2D">
              <w:rPr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171BEC" w:rsidRPr="0000010E" w14:paraId="25D5F2E7" w14:textId="77777777" w:rsidTr="6B9AF6B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9FC42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1F13CC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725D8" w14:textId="77777777" w:rsidR="00171BEC" w:rsidRPr="00775056" w:rsidRDefault="00171BEC" w:rsidP="008D7F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menej ako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75056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83A177" w14:textId="69F4266D" w:rsidR="00171BEC" w:rsidRPr="00775056" w:rsidRDefault="59FB5EF9" w:rsidP="008D7F41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6B9AF6BE">
              <w:rPr>
                <w:color w:val="000000" w:themeColor="text1"/>
                <w:sz w:val="18"/>
                <w:szCs w:val="18"/>
              </w:rPr>
              <w:t xml:space="preserve">Minimálne zastúpenie </w:t>
            </w:r>
            <w:proofErr w:type="spellStart"/>
            <w:r w:rsidRPr="6B9AF6BE">
              <w:rPr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6B9AF6BE">
              <w:rPr>
                <w:color w:val="000000" w:themeColor="text1"/>
                <w:sz w:val="18"/>
                <w:szCs w:val="18"/>
              </w:rPr>
              <w:t>/inváznych druhov drevín v biotope (</w:t>
            </w:r>
            <w:proofErr w:type="spellStart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>Robinia</w:t>
            </w:r>
            <w:proofErr w:type="spellEnd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>pseudoacacia</w:t>
            </w:r>
            <w:proofErr w:type="spellEnd"/>
            <w:r w:rsidRPr="6B9AF6BE">
              <w:rPr>
                <w:color w:val="000000" w:themeColor="text1"/>
                <w:sz w:val="18"/>
                <w:szCs w:val="18"/>
              </w:rPr>
              <w:t>)</w:t>
            </w:r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6B9AF6BE">
              <w:rPr>
                <w:color w:val="000000" w:themeColor="text1"/>
                <w:sz w:val="18"/>
                <w:szCs w:val="18"/>
              </w:rPr>
              <w:t>a bylín (</w:t>
            </w:r>
            <w:proofErr w:type="spellStart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>Fallopia</w:t>
            </w:r>
            <w:proofErr w:type="spellEnd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>sp</w:t>
            </w:r>
            <w:proofErr w:type="spellEnd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 xml:space="preserve">., </w:t>
            </w:r>
            <w:proofErr w:type="spellStart"/>
            <w:r w:rsidRPr="6B9AF6BE">
              <w:rPr>
                <w:i/>
                <w:iCs/>
                <w:color w:val="000000" w:themeColor="text1"/>
                <w:sz w:val="18"/>
                <w:szCs w:val="18"/>
              </w:rPr>
              <w:t>Impati</w:t>
            </w:r>
            <w:r w:rsidR="008D7F41">
              <w:rPr>
                <w:i/>
                <w:iCs/>
                <w:color w:val="000000" w:themeColor="text1"/>
                <w:sz w:val="18"/>
                <w:szCs w:val="18"/>
              </w:rPr>
              <w:t>ens</w:t>
            </w:r>
            <w:proofErr w:type="spellEnd"/>
            <w:r w:rsidR="008D7F41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D7F41">
              <w:rPr>
                <w:i/>
                <w:iCs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="008D7F41">
              <w:rPr>
                <w:i/>
                <w:iCs/>
                <w:color w:val="000000" w:themeColor="text1"/>
                <w:sz w:val="18"/>
                <w:szCs w:val="18"/>
              </w:rPr>
              <w:t xml:space="preserve">, I. </w:t>
            </w:r>
            <w:proofErr w:type="spellStart"/>
            <w:r w:rsidR="008D7F41">
              <w:rPr>
                <w:i/>
                <w:iCs/>
                <w:color w:val="000000" w:themeColor="text1"/>
                <w:sz w:val="18"/>
                <w:szCs w:val="18"/>
              </w:rPr>
              <w:t>parviflora</w:t>
            </w:r>
            <w:proofErr w:type="spellEnd"/>
            <w:r w:rsidRPr="6B9AF6BE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171BEC" w:rsidRPr="0000010E" w14:paraId="66081ABA" w14:textId="77777777" w:rsidTr="6B9AF6B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D442E4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14:paraId="3916D66E" w14:textId="03E5D1C8" w:rsidR="00171BEC" w:rsidRPr="00775056" w:rsidRDefault="00171BEC" w:rsidP="007E4AA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</w:t>
            </w:r>
            <w:r w:rsidR="007E4AAC">
              <w:rPr>
                <w:color w:val="000000"/>
                <w:sz w:val="18"/>
                <w:szCs w:val="18"/>
              </w:rPr>
              <w:t>tnou hrúbkou d1,3 najmenej 30 cm</w:t>
            </w:r>
            <w:r w:rsidRPr="0077505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D1D3E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</w:t>
            </w:r>
            <w:r w:rsidRPr="00775056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C7A0DA" w14:textId="77777777" w:rsidR="00171BEC" w:rsidRPr="00775056" w:rsidRDefault="00171BEC" w:rsidP="008D7F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20</w:t>
            </w:r>
          </w:p>
          <w:p w14:paraId="6A72900D" w14:textId="77777777" w:rsidR="00171BEC" w:rsidRPr="00775056" w:rsidRDefault="00171BEC" w:rsidP="008D7F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80D4027" w14:textId="77777777" w:rsidR="00171BEC" w:rsidRPr="00775056" w:rsidRDefault="00171BEC" w:rsidP="008D7F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62F48E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524CC400" w14:textId="77777777" w:rsidR="00171BEC" w:rsidRPr="00775056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71BEC" w:rsidRPr="00075EFA" w14:paraId="60D1B3F5" w14:textId="77777777" w:rsidTr="6B9AF6BE">
        <w:trPr>
          <w:trHeight w:val="114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F62C88" w14:textId="77777777" w:rsidR="00171BEC" w:rsidRPr="00F95CDE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95CDE">
              <w:rPr>
                <w:color w:val="000000"/>
                <w:sz w:val="18"/>
                <w:szCs w:val="18"/>
              </w:rPr>
              <w:t>Zachovalá prirodzená dynamika toku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174AE1" w14:textId="77777777" w:rsidR="00171BEC" w:rsidRPr="00F95CDE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95CDE">
              <w:rPr>
                <w:color w:val="000000"/>
                <w:sz w:val="18"/>
                <w:szCs w:val="18"/>
              </w:rPr>
              <w:t> Výskyt prirodzených úsekov tokov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A05BAD" w14:textId="77777777" w:rsidR="00171BEC" w:rsidRPr="00F95CDE" w:rsidRDefault="00171BEC" w:rsidP="008D7F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95CDE">
              <w:rPr>
                <w:color w:val="000000"/>
                <w:sz w:val="18"/>
                <w:szCs w:val="18"/>
              </w:rPr>
              <w:t>Na celom toku v UEV a v jeho bezprostrednom okolí</w:t>
            </w:r>
          </w:p>
        </w:tc>
        <w:tc>
          <w:tcPr>
            <w:tcW w:w="5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E9CFB1" w14:textId="77777777" w:rsidR="00171BEC" w:rsidRPr="00F95CDE" w:rsidRDefault="00171BEC" w:rsidP="008D7F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95CDE">
              <w:rPr>
                <w:color w:val="000000"/>
                <w:sz w:val="18"/>
                <w:szCs w:val="18"/>
              </w:rPr>
              <w:t xml:space="preserve">Tok bez prekážok spôsobujúcich spomalenie vodného toku, odklonenie toku, hrádze, zníženie </w:t>
            </w:r>
            <w:proofErr w:type="spellStart"/>
            <w:r w:rsidRPr="00F95CDE">
              <w:rPr>
                <w:color w:val="000000"/>
                <w:sz w:val="18"/>
                <w:szCs w:val="18"/>
              </w:rPr>
              <w:t>prietočnosti</w:t>
            </w:r>
            <w:proofErr w:type="spellEnd"/>
            <w:r w:rsidRPr="00F95CDE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0442264D" w14:textId="77777777" w:rsidR="00171BEC" w:rsidRPr="00D76319" w:rsidRDefault="00171BEC" w:rsidP="000560C8">
      <w:pPr>
        <w:pStyle w:val="Zkladntext"/>
        <w:widowControl w:val="0"/>
        <w:jc w:val="both"/>
        <w:rPr>
          <w:lang w:val="sk-SK"/>
        </w:rPr>
      </w:pPr>
    </w:p>
    <w:p w14:paraId="0F40D6FD" w14:textId="51C3707A" w:rsidR="00440B93" w:rsidRPr="00FA03B9" w:rsidRDefault="00440B93" w:rsidP="00440B93">
      <w:pPr>
        <w:pStyle w:val="Zkladntext"/>
        <w:widowControl w:val="0"/>
        <w:jc w:val="both"/>
        <w:rPr>
          <w:b/>
        </w:rPr>
      </w:pPr>
      <w:r>
        <w:t xml:space="preserve">Zlepšenie stavu </w:t>
      </w:r>
      <w:r w:rsidRPr="007720DF">
        <w:t xml:space="preserve">druhu </w:t>
      </w:r>
      <w:proofErr w:type="spellStart"/>
      <w:r>
        <w:rPr>
          <w:b/>
          <w:i/>
          <w:lang w:val="sk-SK"/>
        </w:rPr>
        <w:t>Osmoderma</w:t>
      </w:r>
      <w:proofErr w:type="spellEnd"/>
      <w:r>
        <w:rPr>
          <w:b/>
          <w:i/>
          <w:lang w:val="sk-SK"/>
        </w:rPr>
        <w:t xml:space="preserve"> eremita </w:t>
      </w:r>
      <w: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5438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5"/>
        <w:gridCol w:w="1560"/>
        <w:gridCol w:w="5179"/>
      </w:tblGrid>
      <w:tr w:rsidR="00440B93" w:rsidRPr="00870D1F" w14:paraId="55815C46" w14:textId="77777777" w:rsidTr="6B9AF6BE">
        <w:trPr>
          <w:trHeight w:val="3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FDFE" w14:textId="77777777" w:rsidR="00440B93" w:rsidRPr="00870D1F" w:rsidRDefault="00440B93" w:rsidP="008D7F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D090" w14:textId="77777777" w:rsidR="00440B93" w:rsidRPr="00870D1F" w:rsidRDefault="00440B93" w:rsidP="008D7F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159B" w14:textId="77777777" w:rsidR="00440B93" w:rsidRPr="00870D1F" w:rsidRDefault="00440B93" w:rsidP="008D7F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A75C" w14:textId="77777777" w:rsidR="00440B93" w:rsidRPr="00870D1F" w:rsidRDefault="00440B93" w:rsidP="008D7F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40B93" w:rsidRPr="00870D1F" w14:paraId="75A87664" w14:textId="77777777" w:rsidTr="6B9AF6BE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9D4" w14:textId="77777777" w:rsidR="00440B93" w:rsidRPr="00870D1F" w:rsidRDefault="00440B93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D009" w14:textId="77777777" w:rsidR="00440B93" w:rsidRDefault="00440B93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Druhom obsadené stromy – počet stromov/ha</w:t>
            </w:r>
          </w:p>
          <w:p w14:paraId="14CFB0D4" w14:textId="77777777" w:rsidR="00440B93" w:rsidRPr="00870D1F" w:rsidRDefault="00440B93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alebo počet jedincov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A65" w14:textId="77777777" w:rsidR="00440B93" w:rsidRDefault="00440B93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mi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n. 2</w:t>
            </w: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strom</w:t>
            </w:r>
            <w:r>
              <w:rPr>
                <w:rFonts w:eastAsia="Times New Roman"/>
                <w:color w:val="000000"/>
                <w:sz w:val="20"/>
                <w:szCs w:val="20"/>
              </w:rPr>
              <w:t>y</w:t>
            </w:r>
            <w:r w:rsidRPr="00870D1F">
              <w:rPr>
                <w:rFonts w:eastAsia="Times New Roman"/>
                <w:color w:val="000000"/>
                <w:sz w:val="20"/>
                <w:szCs w:val="20"/>
              </w:rPr>
              <w:t>/ha</w:t>
            </w:r>
          </w:p>
          <w:p w14:paraId="12C77C8A" w14:textId="2E447EAC" w:rsidR="00440B93" w:rsidRPr="00870D1F" w:rsidRDefault="00440B93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alebo 20 jedincov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9C0" w14:textId="5B076D8F" w:rsidR="00440B93" w:rsidRPr="00870D1F" w:rsidRDefault="00440B93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Udržiavaná veľkosť populácie, v súčasnosti odhadov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aná na  veľkosť populácie do 20</w:t>
            </w: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jedincov </w:t>
            </w:r>
          </w:p>
        </w:tc>
      </w:tr>
      <w:tr w:rsidR="00440B93" w:rsidRPr="00870D1F" w14:paraId="777F65B4" w14:textId="77777777" w:rsidTr="6B9AF6BE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AA5" w14:textId="77777777" w:rsidR="00440B93" w:rsidRPr="00870D1F" w:rsidRDefault="00440B93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Rozloha biotopu výskytu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0091" w14:textId="77777777" w:rsidR="00440B93" w:rsidRPr="00870D1F" w:rsidRDefault="6ADC4720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6B9AF6BE">
              <w:rPr>
                <w:rFonts w:eastAsia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B8B5" w14:textId="264D23ED" w:rsidR="00440B93" w:rsidRPr="00870D1F" w:rsidRDefault="3F0BE6CD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3F0BE6CD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BF2A" w14:textId="741E0B82" w:rsidR="00440B93" w:rsidRPr="00870D1F" w:rsidRDefault="6ADC4720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6B9AF6BE">
              <w:rPr>
                <w:rFonts w:eastAsia="Times New Roman"/>
                <w:color w:val="000000" w:themeColor="text1"/>
                <w:sz w:val="20"/>
                <w:szCs w:val="20"/>
              </w:rPr>
              <w:t>Vyskytuje sa v práchne, dutinách starých, prevažne živých stromov – dub (</w:t>
            </w:r>
            <w:proofErr w:type="spellStart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Quercus</w:t>
            </w:r>
            <w:proofErr w:type="spellEnd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6B9AF6BE">
              <w:rPr>
                <w:rFonts w:eastAsia="Times New Roman"/>
                <w:color w:val="000000" w:themeColor="text1"/>
                <w:sz w:val="20"/>
                <w:szCs w:val="20"/>
              </w:rPr>
              <w:t>),, jasene (</w:t>
            </w:r>
            <w:proofErr w:type="spellStart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6B9AF6BE">
              <w:rPr>
                <w:rFonts w:eastAsia="Times New Roman"/>
                <w:color w:val="000000" w:themeColor="text1"/>
                <w:sz w:val="20"/>
                <w:szCs w:val="20"/>
              </w:rPr>
              <w:t>), vŕby (</w:t>
            </w:r>
            <w:proofErr w:type="spellStart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Salix</w:t>
            </w:r>
            <w:proofErr w:type="spellEnd"/>
            <w:r w:rsidRPr="6B9AF6B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D7F41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="008D7F41">
              <w:rPr>
                <w:rFonts w:eastAsia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tr w:rsidR="00440B93" w:rsidRPr="00870D1F" w14:paraId="22961430" w14:textId="77777777" w:rsidTr="6B9AF6BE">
        <w:trPr>
          <w:trHeight w:val="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941D" w14:textId="77777777" w:rsidR="00440B93" w:rsidRPr="00870D1F" w:rsidRDefault="00440B93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Kvalita biotopu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01C4" w14:textId="77777777" w:rsidR="00440B93" w:rsidRPr="00870D1F" w:rsidRDefault="00440B93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Počet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odumierajúcich a odumretých</w:t>
            </w: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 stromy väčších rozmerov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na </w:t>
            </w:r>
            <w:r w:rsidRPr="00870D1F">
              <w:rPr>
                <w:rFonts w:eastAsia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7EF7" w14:textId="3FAC7C27" w:rsidR="00440B93" w:rsidRPr="00870D1F" w:rsidRDefault="6ADC4720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6B9AF6B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min. </w:t>
            </w:r>
            <w:r w:rsidR="2F639094" w:rsidRPr="6B9AF6BE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Pr="6B9AF6B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strom/ha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D7F" w14:textId="5723BCCF" w:rsidR="00440B93" w:rsidRPr="00870D1F" w:rsidRDefault="6ADC4720" w:rsidP="008D7F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6B9AF6BE">
              <w:rPr>
                <w:rFonts w:eastAsia="Times New Roman"/>
                <w:color w:val="000000" w:themeColor="text1"/>
                <w:sz w:val="20"/>
                <w:szCs w:val="20"/>
              </w:rPr>
              <w:t>Zachovať alebo dosiahnuť po</w:t>
            </w:r>
            <w:r w:rsidR="1AFEFDD3" w:rsidRPr="6B9AF6BE">
              <w:rPr>
                <w:rFonts w:eastAsia="Times New Roman"/>
                <w:color w:val="000000" w:themeColor="text1"/>
                <w:sz w:val="20"/>
                <w:szCs w:val="20"/>
              </w:rPr>
              <w:t>žadovaný</w:t>
            </w:r>
            <w:r w:rsidRPr="6B9AF6B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počet stromov na ha.</w:t>
            </w:r>
          </w:p>
        </w:tc>
      </w:tr>
    </w:tbl>
    <w:p w14:paraId="570FABDB" w14:textId="77777777" w:rsidR="00440B93" w:rsidRDefault="00440B93" w:rsidP="00240459">
      <w:pPr>
        <w:pStyle w:val="Zkladntext"/>
        <w:widowControl w:val="0"/>
        <w:jc w:val="both"/>
        <w:rPr>
          <w:lang w:val="sk-SK"/>
        </w:rPr>
      </w:pPr>
    </w:p>
    <w:p w14:paraId="7AC1038A" w14:textId="77777777" w:rsidR="00440B93" w:rsidRPr="00FA03B9" w:rsidRDefault="00440B93" w:rsidP="00440B93">
      <w:pPr>
        <w:pStyle w:val="Zkladntext"/>
        <w:widowControl w:val="0"/>
        <w:jc w:val="both"/>
        <w:rPr>
          <w:b/>
        </w:rPr>
      </w:pPr>
      <w:r>
        <w:t xml:space="preserve">Zlepšenie stavu </w:t>
      </w:r>
      <w:r w:rsidRPr="007720DF">
        <w:t xml:space="preserve">druhu </w:t>
      </w:r>
      <w:proofErr w:type="spellStart"/>
      <w:r w:rsidRPr="00440B93">
        <w:rPr>
          <w:b/>
          <w:i/>
        </w:rPr>
        <w:t>Romanogobio</w:t>
      </w:r>
      <w:proofErr w:type="spellEnd"/>
      <w:r w:rsidRPr="00440B93">
        <w:rPr>
          <w:b/>
          <w:i/>
        </w:rPr>
        <w:t xml:space="preserve"> </w:t>
      </w:r>
      <w:proofErr w:type="spellStart"/>
      <w:r w:rsidRPr="00440B93">
        <w:rPr>
          <w:b/>
          <w:i/>
        </w:rPr>
        <w:t>vladykovi</w:t>
      </w:r>
      <w:proofErr w:type="spellEnd"/>
      <w:r>
        <w:rPr>
          <w:i/>
        </w:rPr>
        <w:t xml:space="preserve"> </w:t>
      </w:r>
      <w: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440B93" w:rsidRPr="00FA03B9" w14:paraId="65A7FDCD" w14:textId="77777777" w:rsidTr="00E0168C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C70F" w14:textId="77777777" w:rsidR="00440B93" w:rsidRPr="005D3615" w:rsidRDefault="00440B9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D3615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6318" w14:textId="77777777" w:rsidR="00440B93" w:rsidRPr="005D3615" w:rsidRDefault="00440B9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D3615">
              <w:rPr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3EA0" w14:textId="77777777" w:rsidR="00440B93" w:rsidRPr="005D3615" w:rsidRDefault="00440B9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D3615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4EB9" w14:textId="77777777" w:rsidR="00440B93" w:rsidRPr="005D3615" w:rsidRDefault="00440B9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D3615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440B93" w:rsidRPr="00FA03B9" w14:paraId="6E4EBDFA" w14:textId="77777777" w:rsidTr="00E0168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7F34" w14:textId="77777777" w:rsidR="00440B93" w:rsidRPr="00FA03B9" w:rsidRDefault="00440B93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FA03B9">
              <w:rPr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F703" w14:textId="77777777" w:rsidR="00440B93" w:rsidRPr="00FA03B9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A03B9">
              <w:rPr>
                <w:sz w:val="18"/>
                <w:szCs w:val="18"/>
              </w:rPr>
              <w:t>Relatívna početnosť jedincov na 100</w:t>
            </w:r>
            <w:r>
              <w:rPr>
                <w:sz w:val="18"/>
                <w:szCs w:val="18"/>
              </w:rPr>
              <w:t xml:space="preserve"> </w:t>
            </w:r>
            <w:r w:rsidRPr="00FA03B9">
              <w:rPr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F127" w14:textId="77777777" w:rsidR="00440B93" w:rsidRPr="00FA03B9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2E73" w14:textId="77777777" w:rsidR="00440B93" w:rsidRPr="00FA03B9" w:rsidRDefault="00440B93" w:rsidP="00E0168C">
            <w:pPr>
              <w:spacing w:line="240" w:lineRule="auto"/>
              <w:rPr>
                <w:sz w:val="18"/>
                <w:szCs w:val="18"/>
              </w:rPr>
            </w:pPr>
            <w:r w:rsidRPr="007720DF">
              <w:rPr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color w:val="000000"/>
                <w:sz w:val="18"/>
                <w:szCs w:val="18"/>
              </w:rPr>
              <w:t xml:space="preserve">ácie druhu v území odhadovaná od 100 do 500 </w:t>
            </w:r>
            <w:r w:rsidRPr="007720DF">
              <w:rPr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440B93" w:rsidRPr="00FA03B9" w14:paraId="6486ED61" w14:textId="77777777" w:rsidTr="00E0168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159B" w14:textId="77777777" w:rsidR="00440B93" w:rsidRPr="00FA03B9" w:rsidRDefault="00440B93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 xml:space="preserve">Zastúpenie vhodných </w:t>
            </w:r>
            <w:proofErr w:type="spellStart"/>
            <w:r w:rsidRPr="007E136C">
              <w:rPr>
                <w:sz w:val="18"/>
                <w:szCs w:val="18"/>
              </w:rPr>
              <w:t>mikro</w:t>
            </w:r>
            <w:proofErr w:type="spellEnd"/>
            <w:r w:rsidRPr="007E136C">
              <w:rPr>
                <w:sz w:val="18"/>
                <w:szCs w:val="18"/>
              </w:rPr>
              <w:t xml:space="preserve"> a </w:t>
            </w:r>
            <w:proofErr w:type="spellStart"/>
            <w:r w:rsidRPr="007E136C">
              <w:rPr>
                <w:sz w:val="18"/>
                <w:szCs w:val="18"/>
              </w:rPr>
              <w:t>mezohabitatov</w:t>
            </w:r>
            <w:proofErr w:type="spellEnd"/>
            <w:r w:rsidRPr="007E136C">
              <w:rPr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C9D4" w14:textId="77777777" w:rsidR="00440B93" w:rsidRPr="00FA03B9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% na 1</w:t>
            </w:r>
            <w:r>
              <w:rPr>
                <w:sz w:val="18"/>
                <w:szCs w:val="18"/>
              </w:rPr>
              <w:t xml:space="preserve"> </w:t>
            </w:r>
            <w:r w:rsidRPr="007A6B32">
              <w:rPr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A0C8" w14:textId="77777777" w:rsidR="00440B93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</w:t>
            </w:r>
            <w:r w:rsidRPr="007A6B32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FF88" w14:textId="77777777" w:rsidR="00440B93" w:rsidRPr="007720DF" w:rsidRDefault="00440B93" w:rsidP="00E0168C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proofErr w:type="spellStart"/>
            <w:r w:rsidRPr="00411DC8">
              <w:rPr>
                <w:color w:val="333333"/>
                <w:sz w:val="19"/>
                <w:szCs w:val="19"/>
                <w:shd w:val="clear" w:color="auto" w:fill="FFFFFF"/>
              </w:rPr>
              <w:t>prúdiace</w:t>
            </w:r>
            <w:proofErr w:type="spellEnd"/>
            <w:r w:rsidRPr="00411DC8">
              <w:rPr>
                <w:color w:val="333333"/>
                <w:sz w:val="19"/>
                <w:szCs w:val="19"/>
                <w:shd w:val="clear" w:color="auto" w:fill="FFFFFF"/>
              </w:rPr>
              <w:t xml:space="preserve"> úseky alebo rozhrania prúdo</w:t>
            </w:r>
            <w:r>
              <w:rPr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sz w:val="18"/>
                <w:szCs w:val="18"/>
              </w:rPr>
              <w:t xml:space="preserve">v blízkosti štrkových lavíc alebo brodov. </w:t>
            </w:r>
            <w:r>
              <w:rPr>
                <w:sz w:val="18"/>
                <w:szCs w:val="18"/>
              </w:rPr>
              <w:t xml:space="preserve">Týchto je v území nedostatok. </w:t>
            </w:r>
            <w:r w:rsidRPr="00F71EF9">
              <w:rPr>
                <w:sz w:val="18"/>
                <w:szCs w:val="18"/>
              </w:rPr>
              <w:t xml:space="preserve">Obnovu </w:t>
            </w:r>
            <w:proofErr w:type="spellStart"/>
            <w:r w:rsidRPr="00F71EF9">
              <w:rPr>
                <w:sz w:val="18"/>
                <w:szCs w:val="18"/>
              </w:rPr>
              <w:t>prúdivých</w:t>
            </w:r>
            <w:proofErr w:type="spellEnd"/>
            <w:r w:rsidRPr="00F71EF9">
              <w:rPr>
                <w:sz w:val="18"/>
                <w:szCs w:val="18"/>
              </w:rPr>
              <w:t xml:space="preserve"> biotopov je možné dosiahnuť revitalizáciou toku - prepojením a </w:t>
            </w:r>
            <w:proofErr w:type="spellStart"/>
            <w:r w:rsidRPr="00F71EF9">
              <w:rPr>
                <w:sz w:val="18"/>
                <w:szCs w:val="18"/>
              </w:rPr>
              <w:t>sprietočnením</w:t>
            </w:r>
            <w:proofErr w:type="spellEnd"/>
            <w:r w:rsidRPr="00F71EF9">
              <w:rPr>
                <w:sz w:val="18"/>
                <w:szCs w:val="18"/>
              </w:rPr>
              <w:t xml:space="preserve"> odrezaných meandrov a riečnych ramien.</w:t>
            </w:r>
          </w:p>
        </w:tc>
      </w:tr>
      <w:tr w:rsidR="00440B93" w:rsidRPr="00FA03B9" w14:paraId="27F0C46F" w14:textId="77777777" w:rsidTr="00E0168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D8E70" w14:textId="77777777" w:rsidR="00440B93" w:rsidRPr="00FA03B9" w:rsidRDefault="00440B93" w:rsidP="00E016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Biotop druhu - p</w:t>
            </w:r>
            <w:r w:rsidRPr="00F71EF9">
              <w:rPr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1D40" w14:textId="77777777" w:rsidR="00440B93" w:rsidRPr="00FA03B9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Výška (</w:t>
            </w:r>
            <w:r w:rsidRPr="00F71EF9">
              <w:rPr>
                <w:sz w:val="18"/>
                <w:szCs w:val="18"/>
              </w:rPr>
              <w:t>cm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13CA" w14:textId="77777777" w:rsidR="00440B93" w:rsidRPr="00FA03B9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FA03B9">
              <w:rPr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09AC" w14:textId="77777777" w:rsidR="00440B93" w:rsidRPr="00FA03B9" w:rsidRDefault="00440B9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Vyžaduje hlbšie úseky, ktorých je v území dostatok.</w:t>
            </w:r>
          </w:p>
        </w:tc>
      </w:tr>
      <w:tr w:rsidR="00440B93" w:rsidRPr="00FA03B9" w14:paraId="00C83F04" w14:textId="77777777" w:rsidTr="007E4AAC">
        <w:trPr>
          <w:trHeight w:val="574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8B99" w14:textId="77777777" w:rsidR="00440B93" w:rsidRPr="00FA03B9" w:rsidRDefault="00440B93" w:rsidP="00E0168C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71EF9">
              <w:rPr>
                <w:sz w:val="18"/>
                <w:szCs w:val="18"/>
              </w:rPr>
              <w:t>Pokryvnosť</w:t>
            </w:r>
            <w:proofErr w:type="spellEnd"/>
            <w:r w:rsidRPr="00F71EF9">
              <w:rPr>
                <w:sz w:val="18"/>
                <w:szCs w:val="18"/>
              </w:rPr>
              <w:t xml:space="preserve">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2047B" w14:textId="3073A1F8" w:rsidR="00440B93" w:rsidRPr="00FA03B9" w:rsidRDefault="00440B93" w:rsidP="007E4A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percentách (</w:t>
            </w:r>
            <w:r w:rsidRPr="007A6B32">
              <w:rPr>
                <w:sz w:val="18"/>
                <w:szCs w:val="18"/>
              </w:rPr>
              <w:t>%</w:t>
            </w:r>
            <w:r w:rsidR="007E4AAC">
              <w:rPr>
                <w:sz w:val="18"/>
                <w:szCs w:val="18"/>
              </w:rPr>
              <w:t>) na 100 m úseku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A1DA" w14:textId="77777777" w:rsidR="00440B93" w:rsidRPr="00FA03B9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FA03B9">
              <w:rPr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E063" w14:textId="77777777" w:rsidR="00440B93" w:rsidRPr="00FA03B9" w:rsidRDefault="00440B9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Udržiavanie prirodzených</w:t>
            </w:r>
            <w:r w:rsidRPr="00FA03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brehových porastov</w:t>
            </w:r>
            <w:r w:rsidRPr="00FA03B9">
              <w:rPr>
                <w:sz w:val="18"/>
                <w:szCs w:val="18"/>
              </w:rPr>
              <w:t>.</w:t>
            </w:r>
          </w:p>
        </w:tc>
      </w:tr>
      <w:tr w:rsidR="00440B93" w:rsidRPr="00FA03B9" w14:paraId="4BF6BA35" w14:textId="77777777" w:rsidTr="00E0168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290A" w14:textId="77777777" w:rsidR="00440B93" w:rsidRPr="00FA03B9" w:rsidRDefault="00440B93" w:rsidP="00E0168C">
            <w:pPr>
              <w:spacing w:line="240" w:lineRule="auto"/>
              <w:rPr>
                <w:sz w:val="18"/>
                <w:szCs w:val="18"/>
              </w:rPr>
            </w:pPr>
            <w:r w:rsidRPr="00A32EFF">
              <w:rPr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1B08" w14:textId="77777777" w:rsidR="00440B93" w:rsidRPr="00FA03B9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 xml:space="preserve">Dominancia </w:t>
            </w:r>
            <w:proofErr w:type="spellStart"/>
            <w:r w:rsidRPr="007A6B32">
              <w:rPr>
                <w:sz w:val="18"/>
                <w:szCs w:val="18"/>
              </w:rPr>
              <w:t>stanovištne</w:t>
            </w:r>
            <w:proofErr w:type="spellEnd"/>
            <w:r w:rsidRPr="007A6B32">
              <w:rPr>
                <w:sz w:val="18"/>
                <w:szCs w:val="18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E24D" w14:textId="77777777" w:rsidR="00440B93" w:rsidRPr="00FA03B9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Menej ako </w:t>
            </w:r>
            <w:r w:rsidRPr="007A6B32">
              <w:rPr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84C8" w14:textId="77777777" w:rsidR="00440B93" w:rsidRPr="00FA03B9" w:rsidRDefault="00440B93" w:rsidP="00E0168C">
            <w:pPr>
              <w:spacing w:line="240" w:lineRule="auto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440B93" w:rsidRPr="00FA03B9" w14:paraId="32661FEC" w14:textId="77777777" w:rsidTr="00E0168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5D04" w14:textId="77777777" w:rsidR="00440B93" w:rsidRPr="00A32EFF" w:rsidRDefault="00440B93" w:rsidP="00E0168C">
            <w:pPr>
              <w:spacing w:line="240" w:lineRule="auto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5386" w14:textId="77777777" w:rsidR="00440B93" w:rsidRPr="007A6B32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F2D5" w14:textId="77777777" w:rsidR="00440B93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7CDE" w14:textId="77777777" w:rsidR="00440B93" w:rsidRDefault="00440B93" w:rsidP="00E0168C">
            <w:pPr>
              <w:spacing w:line="240" w:lineRule="auto"/>
              <w:ind w:left="2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Udržiavanie toku</w:t>
            </w:r>
            <w:r w:rsidRPr="007A6B32">
              <w:rPr>
                <w:sz w:val="18"/>
                <w:szCs w:val="18"/>
              </w:rPr>
              <w:t xml:space="preserve"> bez migračných bariér</w:t>
            </w:r>
            <w:r>
              <w:rPr>
                <w:sz w:val="18"/>
                <w:szCs w:val="18"/>
              </w:rPr>
              <w:t>, aby sa nebránilo migrácii druhu.</w:t>
            </w:r>
            <w:r w:rsidRPr="007A6B32">
              <w:rPr>
                <w:sz w:val="18"/>
                <w:szCs w:val="18"/>
              </w:rPr>
              <w:t xml:space="preserve"> </w:t>
            </w:r>
          </w:p>
        </w:tc>
      </w:tr>
      <w:tr w:rsidR="00440B93" w:rsidRPr="00FA03B9" w14:paraId="7ED5E8AC" w14:textId="77777777" w:rsidTr="00E0168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8152" w14:textId="77777777" w:rsidR="00440B93" w:rsidRPr="00FA03B9" w:rsidRDefault="00440B93" w:rsidP="00E0168C">
            <w:pPr>
              <w:spacing w:line="240" w:lineRule="auto"/>
              <w:ind w:left="22"/>
              <w:rPr>
                <w:sz w:val="18"/>
                <w:szCs w:val="18"/>
              </w:rPr>
            </w:pPr>
            <w:r w:rsidRPr="00F71EF9">
              <w:rPr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DF6F" w14:textId="77777777" w:rsidR="00440B93" w:rsidRPr="00FA03B9" w:rsidRDefault="00440B93" w:rsidP="00E0168C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7720DF">
              <w:rPr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8B74" w14:textId="77777777" w:rsidR="00440B93" w:rsidRPr="00FA03B9" w:rsidRDefault="00440B93" w:rsidP="00E0168C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7720DF">
              <w:rPr>
                <w:sz w:val="18"/>
                <w:szCs w:val="18"/>
              </w:rPr>
              <w:t>Vyhovujúc</w:t>
            </w:r>
            <w:r>
              <w:rPr>
                <w:sz w:val="18"/>
                <w:szCs w:val="18"/>
              </w:rPr>
              <w:t>a kvalita</w:t>
            </w:r>
            <w:r w:rsidRPr="007720DF" w:rsidDel="008E15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AAB9" w14:textId="50921A98" w:rsidR="00440B93" w:rsidRDefault="00440B9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 w:rsidRPr="00D52383">
              <w:rPr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5" w:history="1">
              <w:r w:rsidRPr="008A1D51">
                <w:rPr>
                  <w:rStyle w:val="Hypertextovprepojenie"/>
                  <w:sz w:val="18"/>
                  <w:szCs w:val="18"/>
                </w:rPr>
                <w:t>http://www.shmu.sk/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4AC83CEB" w14:textId="77777777" w:rsidR="00440B93" w:rsidRPr="00FA03B9" w:rsidRDefault="00440B9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sz w:val="18"/>
                <w:szCs w:val="18"/>
              </w:rPr>
              <w:t xml:space="preserve">teploty, </w:t>
            </w:r>
            <w:r>
              <w:rPr>
                <w:sz w:val="18"/>
                <w:szCs w:val="18"/>
              </w:rPr>
              <w:t xml:space="preserve">zníženia </w:t>
            </w:r>
            <w:r w:rsidRPr="007E136C">
              <w:rPr>
                <w:sz w:val="18"/>
                <w:szCs w:val="18"/>
              </w:rPr>
              <w:t xml:space="preserve">obsahu kyslíka, </w:t>
            </w:r>
            <w:r>
              <w:rPr>
                <w:sz w:val="18"/>
                <w:szCs w:val="18"/>
              </w:rPr>
              <w:t xml:space="preserve">zvýšenia </w:t>
            </w:r>
            <w:r w:rsidRPr="007E136C">
              <w:rPr>
                <w:sz w:val="18"/>
                <w:szCs w:val="18"/>
              </w:rPr>
              <w:t>chemických i biologických ukazovateľov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6F4C0CE3" w14:textId="77777777" w:rsidR="00440B93" w:rsidRDefault="00440B93" w:rsidP="00440B93">
      <w:pPr>
        <w:pStyle w:val="Zkladntext"/>
        <w:widowControl w:val="0"/>
        <w:jc w:val="both"/>
        <w:rPr>
          <w:b/>
        </w:rPr>
      </w:pPr>
    </w:p>
    <w:p w14:paraId="53974ACA" w14:textId="77777777" w:rsidR="00440B93" w:rsidRPr="0088508D" w:rsidRDefault="00440B93" w:rsidP="00440B9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Zlepšenie</w:t>
      </w:r>
      <w:r w:rsidRPr="0088508D">
        <w:rPr>
          <w:color w:val="000000"/>
          <w:szCs w:val="24"/>
        </w:rPr>
        <w:t xml:space="preserve"> stav</w:t>
      </w:r>
      <w:r>
        <w:rPr>
          <w:color w:val="000000"/>
          <w:szCs w:val="24"/>
        </w:rPr>
        <w:t>u</w:t>
      </w:r>
      <w:r w:rsidRPr="0088508D">
        <w:rPr>
          <w:color w:val="000000"/>
          <w:szCs w:val="24"/>
        </w:rPr>
        <w:t xml:space="preserve"> </w:t>
      </w:r>
      <w:r w:rsidRPr="0088508D">
        <w:rPr>
          <w:b/>
          <w:color w:val="000000"/>
          <w:szCs w:val="24"/>
        </w:rPr>
        <w:t xml:space="preserve">druhu </w:t>
      </w:r>
      <w:proofErr w:type="spellStart"/>
      <w:r w:rsidRPr="0088508D">
        <w:rPr>
          <w:b/>
          <w:i/>
          <w:szCs w:val="24"/>
        </w:rPr>
        <w:t>Rhodeus</w:t>
      </w:r>
      <w:proofErr w:type="spellEnd"/>
      <w:r w:rsidRPr="0088508D">
        <w:rPr>
          <w:b/>
          <w:i/>
          <w:szCs w:val="24"/>
        </w:rPr>
        <w:t xml:space="preserve"> </w:t>
      </w:r>
      <w:proofErr w:type="spellStart"/>
      <w:r w:rsidRPr="0088508D">
        <w:rPr>
          <w:b/>
          <w:i/>
          <w:szCs w:val="24"/>
        </w:rPr>
        <w:t>amarus</w:t>
      </w:r>
      <w:proofErr w:type="spellEnd"/>
      <w:r w:rsidRPr="0088508D">
        <w:rPr>
          <w:b/>
          <w:i/>
          <w:szCs w:val="24"/>
        </w:rPr>
        <w:t xml:space="preserve"> (R. </w:t>
      </w:r>
      <w:proofErr w:type="spellStart"/>
      <w:r w:rsidRPr="0088508D">
        <w:rPr>
          <w:b/>
          <w:i/>
          <w:szCs w:val="24"/>
        </w:rPr>
        <w:t>sericeus</w:t>
      </w:r>
      <w:proofErr w:type="spellEnd"/>
      <w:r w:rsidRPr="0088508D">
        <w:rPr>
          <w:b/>
          <w:i/>
          <w:szCs w:val="24"/>
        </w:rPr>
        <w:t xml:space="preserve"> </w:t>
      </w:r>
      <w:proofErr w:type="spellStart"/>
      <w:r w:rsidRPr="0088508D">
        <w:rPr>
          <w:b/>
          <w:i/>
          <w:szCs w:val="24"/>
        </w:rPr>
        <w:t>amarus</w:t>
      </w:r>
      <w:proofErr w:type="spellEnd"/>
      <w:r w:rsidRPr="0088508D">
        <w:rPr>
          <w:b/>
          <w:i/>
          <w:szCs w:val="24"/>
        </w:rPr>
        <w:t>)</w:t>
      </w:r>
      <w:r w:rsidRPr="0088508D">
        <w:rPr>
          <w:i/>
          <w:szCs w:val="24"/>
        </w:rPr>
        <w:t xml:space="preserve"> </w:t>
      </w:r>
      <w:r>
        <w:rPr>
          <w:color w:val="000000"/>
          <w:szCs w:val="24"/>
        </w:rPr>
        <w:t>za splnenia nasledovných parametrov</w:t>
      </w:r>
      <w:r w:rsidRPr="0088508D">
        <w:rPr>
          <w:color w:val="000000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440B93" w:rsidRPr="001258AA" w14:paraId="594161C8" w14:textId="77777777" w:rsidTr="00E0168C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F7A1" w14:textId="77777777" w:rsidR="00440B93" w:rsidRPr="001258AA" w:rsidRDefault="00440B9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258AA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C9EE" w14:textId="77777777" w:rsidR="00440B93" w:rsidRPr="001258AA" w:rsidRDefault="00440B9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258AA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A5C7" w14:textId="77777777" w:rsidR="00440B93" w:rsidRPr="001258AA" w:rsidRDefault="00440B9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258AA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6F81" w14:textId="77777777" w:rsidR="00440B93" w:rsidRPr="001258AA" w:rsidRDefault="00440B9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258AA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440B93" w:rsidRPr="001258AA" w14:paraId="7C6DE280" w14:textId="77777777" w:rsidTr="00E0168C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1F28" w14:textId="77777777" w:rsidR="00440B93" w:rsidRPr="001258AA" w:rsidRDefault="00440B93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258AA">
              <w:rPr>
                <w:sz w:val="18"/>
                <w:szCs w:val="18"/>
              </w:rPr>
              <w:lastRenderedPageBreak/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11C8" w14:textId="77777777" w:rsidR="00440B93" w:rsidRPr="001258AA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258AA">
              <w:rPr>
                <w:sz w:val="18"/>
                <w:szCs w:val="18"/>
              </w:rPr>
              <w:t>Relatívna početnosť na 100</w:t>
            </w:r>
            <w:r>
              <w:rPr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EDBD" w14:textId="77777777" w:rsidR="00440B93" w:rsidRPr="001258AA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3B75" w14:textId="356671C1" w:rsidR="00440B93" w:rsidRPr="001258AA" w:rsidRDefault="00440B93" w:rsidP="00E0168C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RPr="007720DF">
              <w:rPr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color w:val="000000"/>
                <w:sz w:val="18"/>
                <w:szCs w:val="18"/>
              </w:rPr>
              <w:t xml:space="preserve">ácie druhu v území odhadovaná do 500 </w:t>
            </w:r>
            <w:r w:rsidRPr="007720DF">
              <w:rPr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440B93" w:rsidRPr="001258AA" w14:paraId="1D598D41" w14:textId="77777777" w:rsidTr="00E0168C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3107" w14:textId="77777777" w:rsidR="00440B93" w:rsidRPr="001258AA" w:rsidRDefault="00440B93" w:rsidP="00E0168C">
            <w:pPr>
              <w:spacing w:line="240" w:lineRule="auto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 xml:space="preserve">Zastúpenie vhodných </w:t>
            </w:r>
            <w:proofErr w:type="spellStart"/>
            <w:r w:rsidRPr="007E136C">
              <w:rPr>
                <w:sz w:val="18"/>
                <w:szCs w:val="18"/>
              </w:rPr>
              <w:t>mikro</w:t>
            </w:r>
            <w:proofErr w:type="spellEnd"/>
            <w:r w:rsidRPr="007E136C">
              <w:rPr>
                <w:sz w:val="18"/>
                <w:szCs w:val="18"/>
              </w:rPr>
              <w:t xml:space="preserve"> a </w:t>
            </w:r>
            <w:proofErr w:type="spellStart"/>
            <w:r w:rsidRPr="007E136C">
              <w:rPr>
                <w:sz w:val="18"/>
                <w:szCs w:val="18"/>
              </w:rPr>
              <w:t>mezohabitatov</w:t>
            </w:r>
            <w:proofErr w:type="spellEnd"/>
            <w:r w:rsidRPr="007E136C">
              <w:rPr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9C02" w14:textId="77777777" w:rsidR="00440B93" w:rsidRPr="001258AA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% na 1</w:t>
            </w:r>
            <w:r>
              <w:rPr>
                <w:sz w:val="18"/>
                <w:szCs w:val="18"/>
              </w:rPr>
              <w:t xml:space="preserve"> </w:t>
            </w:r>
            <w:r w:rsidRPr="007A6B32">
              <w:rPr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B0A0" w14:textId="77777777" w:rsidR="00440B93" w:rsidRPr="001258AA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3</w:t>
            </w:r>
            <w:r w:rsidRPr="007A6B32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B0EE" w14:textId="77777777" w:rsidR="00440B93" w:rsidRPr="001258AA" w:rsidRDefault="00440B93" w:rsidP="00E016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Stojaté a pomaly tečúce vody</w:t>
            </w:r>
            <w:r w:rsidRPr="001258AA">
              <w:rPr>
                <w:sz w:val="18"/>
                <w:szCs w:val="18"/>
              </w:rPr>
              <w:t>, jemným sedimentom a výskytom korýtok.</w:t>
            </w:r>
          </w:p>
        </w:tc>
      </w:tr>
      <w:tr w:rsidR="00440B93" w:rsidRPr="001258AA" w14:paraId="00F03424" w14:textId="77777777" w:rsidTr="00E0168C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B495" w14:textId="77777777" w:rsidR="00440B93" w:rsidRPr="001258AA" w:rsidRDefault="00440B93" w:rsidP="00E0168C">
            <w:pPr>
              <w:spacing w:line="240" w:lineRule="auto"/>
              <w:rPr>
                <w:sz w:val="18"/>
                <w:szCs w:val="18"/>
              </w:rPr>
            </w:pPr>
            <w:r w:rsidRPr="00A32EFF">
              <w:rPr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73EC" w14:textId="77777777" w:rsidR="00440B93" w:rsidRPr="001258AA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 xml:space="preserve">Dominancia </w:t>
            </w:r>
            <w:proofErr w:type="spellStart"/>
            <w:r w:rsidRPr="007A6B32">
              <w:rPr>
                <w:sz w:val="18"/>
                <w:szCs w:val="18"/>
              </w:rPr>
              <w:t>stanovištne</w:t>
            </w:r>
            <w:proofErr w:type="spellEnd"/>
            <w:r w:rsidRPr="007A6B32">
              <w:rPr>
                <w:sz w:val="18"/>
                <w:szCs w:val="18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FCA1" w14:textId="77777777" w:rsidR="00440B93" w:rsidRPr="001258AA" w:rsidRDefault="00440B9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Menej ako </w:t>
            </w:r>
            <w:r w:rsidRPr="007A6B32">
              <w:rPr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6270" w14:textId="77777777" w:rsidR="00440B93" w:rsidRPr="001258AA" w:rsidRDefault="00440B93" w:rsidP="00E0168C">
            <w:pPr>
              <w:pStyle w:val="Textkomentra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440B93" w:rsidRPr="001258AA" w14:paraId="0575CA9F" w14:textId="77777777" w:rsidTr="00E0168C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E734" w14:textId="77777777" w:rsidR="00440B93" w:rsidRPr="00F71EF9" w:rsidRDefault="00440B93" w:rsidP="00E0168C">
            <w:pPr>
              <w:spacing w:line="240" w:lineRule="auto"/>
              <w:ind w:left="22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6A1D" w14:textId="77777777" w:rsidR="00440B93" w:rsidRPr="007720DF" w:rsidRDefault="00440B93" w:rsidP="00E0168C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D707" w14:textId="77777777" w:rsidR="00440B93" w:rsidRPr="007720DF" w:rsidRDefault="00440B93" w:rsidP="00E0168C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0CC6" w14:textId="77777777" w:rsidR="00440B93" w:rsidRPr="00D52383" w:rsidRDefault="00440B9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Udržiavanie toku</w:t>
            </w:r>
            <w:r w:rsidRPr="007A6B32">
              <w:rPr>
                <w:sz w:val="18"/>
                <w:szCs w:val="18"/>
              </w:rPr>
              <w:t xml:space="preserve"> bez migračných bariér</w:t>
            </w:r>
            <w:r>
              <w:rPr>
                <w:sz w:val="18"/>
                <w:szCs w:val="18"/>
              </w:rPr>
              <w:t>, aby sa nebránilo migrácii druhu.</w:t>
            </w:r>
            <w:r w:rsidRPr="007A6B32">
              <w:rPr>
                <w:sz w:val="18"/>
                <w:szCs w:val="18"/>
              </w:rPr>
              <w:t xml:space="preserve"> </w:t>
            </w:r>
          </w:p>
        </w:tc>
      </w:tr>
      <w:tr w:rsidR="00440B93" w:rsidRPr="001258AA" w14:paraId="331334C2" w14:textId="77777777" w:rsidTr="00E0168C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DC34" w14:textId="77777777" w:rsidR="00440B93" w:rsidRPr="001258AA" w:rsidRDefault="00440B93" w:rsidP="00E0168C">
            <w:pPr>
              <w:spacing w:line="240" w:lineRule="auto"/>
              <w:ind w:left="22"/>
              <w:rPr>
                <w:sz w:val="18"/>
                <w:szCs w:val="18"/>
              </w:rPr>
            </w:pPr>
            <w:r w:rsidRPr="00F71EF9">
              <w:rPr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7155" w14:textId="77777777" w:rsidR="00440B93" w:rsidRPr="001258AA" w:rsidRDefault="00440B93" w:rsidP="00E0168C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7720DF">
              <w:rPr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BDCB" w14:textId="77777777" w:rsidR="00440B93" w:rsidRPr="001258AA" w:rsidRDefault="00440B93" w:rsidP="00E0168C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7720DF">
              <w:rPr>
                <w:sz w:val="18"/>
                <w:szCs w:val="18"/>
              </w:rPr>
              <w:t>Vyhovujúc</w:t>
            </w:r>
            <w:r>
              <w:rPr>
                <w:sz w:val="18"/>
                <w:szCs w:val="18"/>
              </w:rPr>
              <w:t>a kvalita</w:t>
            </w:r>
            <w:r w:rsidRPr="007720DF" w:rsidDel="008E15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EE83" w14:textId="70495951" w:rsidR="00440B93" w:rsidRDefault="00440B9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 w:rsidRPr="00D52383">
              <w:rPr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6" w:history="1">
              <w:r w:rsidRPr="008A1D51">
                <w:rPr>
                  <w:rStyle w:val="Hypertextovprepojenie"/>
                  <w:sz w:val="18"/>
                  <w:szCs w:val="18"/>
                </w:rPr>
                <w:t>http://www.shmu.sk/</w:t>
              </w:r>
            </w:hyperlink>
            <w:r w:rsidR="007E4A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  <w:p w14:paraId="12C1E24C" w14:textId="77777777" w:rsidR="00440B93" w:rsidRPr="001258AA" w:rsidRDefault="00440B9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sz w:val="18"/>
                <w:szCs w:val="18"/>
              </w:rPr>
              <w:t xml:space="preserve">teploty, </w:t>
            </w:r>
            <w:r>
              <w:rPr>
                <w:sz w:val="18"/>
                <w:szCs w:val="18"/>
              </w:rPr>
              <w:t xml:space="preserve">zníženia </w:t>
            </w:r>
            <w:r w:rsidRPr="007E136C">
              <w:rPr>
                <w:sz w:val="18"/>
                <w:szCs w:val="18"/>
              </w:rPr>
              <w:t xml:space="preserve">obsahu kyslíka, </w:t>
            </w:r>
            <w:r>
              <w:rPr>
                <w:sz w:val="18"/>
                <w:szCs w:val="18"/>
              </w:rPr>
              <w:t xml:space="preserve">zvýšenia </w:t>
            </w:r>
            <w:r w:rsidRPr="007E136C">
              <w:rPr>
                <w:sz w:val="18"/>
                <w:szCs w:val="18"/>
              </w:rPr>
              <w:t>chemických i biologických ukazovateľov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02DBC455" w14:textId="77777777" w:rsidR="00440B93" w:rsidRDefault="00440B93" w:rsidP="00440B93">
      <w:pPr>
        <w:pStyle w:val="Zkladntext"/>
        <w:widowControl w:val="0"/>
        <w:ind w:left="360"/>
        <w:jc w:val="both"/>
        <w:rPr>
          <w:b/>
        </w:rPr>
      </w:pPr>
    </w:p>
    <w:p w14:paraId="76758C77" w14:textId="77777777" w:rsidR="00230AF3" w:rsidRDefault="00230AF3" w:rsidP="00230AF3">
      <w:pPr>
        <w:pStyle w:val="Zkladntext"/>
        <w:widowControl w:val="0"/>
        <w:jc w:val="both"/>
        <w:rPr>
          <w:b/>
        </w:rPr>
      </w:pPr>
      <w:r>
        <w:t xml:space="preserve">Zlepšenie stavu </w:t>
      </w:r>
      <w:r w:rsidRPr="007720DF">
        <w:t xml:space="preserve">druhu </w:t>
      </w:r>
      <w:proofErr w:type="spellStart"/>
      <w:r w:rsidRPr="00230AF3">
        <w:rPr>
          <w:b/>
          <w:i/>
          <w:color w:val="000000"/>
          <w:lang w:eastAsia="sk-SK"/>
        </w:rPr>
        <w:t>Rutilus</w:t>
      </w:r>
      <w:proofErr w:type="spellEnd"/>
      <w:r w:rsidRPr="00230AF3">
        <w:rPr>
          <w:b/>
          <w:i/>
          <w:color w:val="000000"/>
          <w:lang w:eastAsia="sk-SK"/>
        </w:rPr>
        <w:t xml:space="preserve"> </w:t>
      </w:r>
      <w:proofErr w:type="spellStart"/>
      <w:r w:rsidRPr="00230AF3">
        <w:rPr>
          <w:b/>
          <w:i/>
          <w:color w:val="000000"/>
          <w:lang w:eastAsia="sk-SK"/>
        </w:rPr>
        <w:t>virgo</w:t>
      </w:r>
      <w:proofErr w:type="spellEnd"/>
      <w:r>
        <w:rPr>
          <w:i/>
        </w:rPr>
        <w:t xml:space="preserve"> </w:t>
      </w:r>
      <w:r>
        <w:t>za splnenia nasledovných parametrov: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230AF3" w:rsidRPr="007A6B32" w14:paraId="18ABE5F6" w14:textId="77777777" w:rsidTr="00E0168C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A5BF" w14:textId="77777777" w:rsidR="00230AF3" w:rsidRPr="00B45250" w:rsidRDefault="00230AF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5250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553F" w14:textId="77777777" w:rsidR="00230AF3" w:rsidRPr="00B45250" w:rsidRDefault="00230AF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5250">
              <w:rPr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28F5" w14:textId="77777777" w:rsidR="00230AF3" w:rsidRPr="00B45250" w:rsidRDefault="00230AF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5250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F508" w14:textId="77777777" w:rsidR="00230AF3" w:rsidRPr="00B45250" w:rsidRDefault="00230AF3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5250">
              <w:rPr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230AF3" w:rsidRPr="007A6B32" w14:paraId="32886C5E" w14:textId="77777777" w:rsidTr="00E0168C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CEBC" w14:textId="77777777" w:rsidR="00230AF3" w:rsidRPr="007E136C" w:rsidRDefault="00230AF3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C48D" w14:textId="77777777" w:rsidR="00230AF3" w:rsidRPr="007A6B32" w:rsidRDefault="00230AF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Relatívna početnosť druhu na 100</w:t>
            </w:r>
            <w:r>
              <w:rPr>
                <w:sz w:val="18"/>
                <w:szCs w:val="18"/>
              </w:rPr>
              <w:t xml:space="preserve"> </w:t>
            </w:r>
            <w:r w:rsidRPr="007A6B32">
              <w:rPr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3D18" w14:textId="77777777" w:rsidR="00230AF3" w:rsidRPr="007A6B32" w:rsidRDefault="00230AF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8A53" w14:textId="5453829D" w:rsidR="00230AF3" w:rsidRPr="007A6B32" w:rsidRDefault="00230AF3" w:rsidP="00E0168C">
            <w:pPr>
              <w:spacing w:line="240" w:lineRule="auto"/>
              <w:rPr>
                <w:sz w:val="18"/>
                <w:szCs w:val="18"/>
              </w:rPr>
            </w:pPr>
            <w:r w:rsidRPr="007A6B32">
              <w:rPr>
                <w:color w:val="000000"/>
                <w:sz w:val="18"/>
                <w:szCs w:val="18"/>
              </w:rPr>
              <w:t>Podľa dostupných údajov</w:t>
            </w:r>
            <w:r>
              <w:rPr>
                <w:color w:val="000000"/>
                <w:sz w:val="18"/>
                <w:szCs w:val="18"/>
              </w:rPr>
              <w:t xml:space="preserve"> je veľkosť populácie v území odhadovaná od 50 do 200 jedincov druhu</w:t>
            </w:r>
            <w:r w:rsidRPr="007A6B32">
              <w:rPr>
                <w:color w:val="000000"/>
                <w:sz w:val="18"/>
                <w:szCs w:val="18"/>
              </w:rPr>
              <w:t>.</w:t>
            </w:r>
            <w:r w:rsidRPr="007A6B32">
              <w:t xml:space="preserve"> </w:t>
            </w:r>
          </w:p>
        </w:tc>
      </w:tr>
      <w:tr w:rsidR="00230AF3" w:rsidRPr="007A6B32" w14:paraId="2399C5B0" w14:textId="77777777" w:rsidTr="00E0168C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204D" w14:textId="77777777" w:rsidR="00230AF3" w:rsidRPr="007E136C" w:rsidRDefault="00230AF3" w:rsidP="00E0168C">
            <w:pPr>
              <w:spacing w:line="240" w:lineRule="auto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 xml:space="preserve">Zastúpenie vhodných </w:t>
            </w:r>
            <w:proofErr w:type="spellStart"/>
            <w:r w:rsidRPr="007E136C">
              <w:rPr>
                <w:sz w:val="18"/>
                <w:szCs w:val="18"/>
              </w:rPr>
              <w:t>mikro</w:t>
            </w:r>
            <w:proofErr w:type="spellEnd"/>
            <w:r w:rsidRPr="007E136C">
              <w:rPr>
                <w:sz w:val="18"/>
                <w:szCs w:val="18"/>
              </w:rPr>
              <w:t xml:space="preserve"> a </w:t>
            </w:r>
            <w:proofErr w:type="spellStart"/>
            <w:r w:rsidRPr="007E136C">
              <w:rPr>
                <w:sz w:val="18"/>
                <w:szCs w:val="18"/>
              </w:rPr>
              <w:t>mezohabitatov</w:t>
            </w:r>
            <w:proofErr w:type="spellEnd"/>
            <w:r w:rsidRPr="007E136C">
              <w:rPr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EEC1" w14:textId="77777777" w:rsidR="00230AF3" w:rsidRPr="007A6B32" w:rsidRDefault="00230AF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% na 1</w:t>
            </w:r>
            <w:r>
              <w:rPr>
                <w:sz w:val="18"/>
                <w:szCs w:val="18"/>
              </w:rPr>
              <w:t xml:space="preserve"> </w:t>
            </w:r>
            <w:r w:rsidRPr="007A6B32">
              <w:rPr>
                <w:sz w:val="18"/>
                <w:szCs w:val="18"/>
              </w:rPr>
              <w:t>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5893" w14:textId="77777777" w:rsidR="00230AF3" w:rsidRPr="007A6B32" w:rsidRDefault="00230AF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</w:t>
            </w:r>
            <w:r w:rsidRPr="007A6B32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DFE9" w14:textId="77777777" w:rsidR="00230AF3" w:rsidRPr="00411DC8" w:rsidRDefault="00230AF3" w:rsidP="00E016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Zastúpenie </w:t>
            </w:r>
            <w:r w:rsidRPr="00603E07">
              <w:rPr>
                <w:sz w:val="18"/>
                <w:szCs w:val="18"/>
              </w:rPr>
              <w:t xml:space="preserve">menej </w:t>
            </w:r>
            <w:proofErr w:type="spellStart"/>
            <w:r>
              <w:rPr>
                <w:sz w:val="18"/>
                <w:szCs w:val="18"/>
              </w:rPr>
              <w:t>prúdivých</w:t>
            </w:r>
            <w:proofErr w:type="spellEnd"/>
            <w:r w:rsidRPr="00603E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plytkých až stredne hlbokých</w:t>
            </w:r>
            <w:r w:rsidRPr="00603E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biotopov</w:t>
            </w:r>
            <w:r w:rsidRPr="00603E07">
              <w:rPr>
                <w:sz w:val="18"/>
                <w:szCs w:val="18"/>
              </w:rPr>
              <w:t xml:space="preserve"> s piesčitým dnom a akumuláciami jemných sedimentov</w:t>
            </w:r>
            <w:r>
              <w:rPr>
                <w:sz w:val="18"/>
                <w:szCs w:val="18"/>
              </w:rPr>
              <w:t>.</w:t>
            </w:r>
            <w:r w:rsidRPr="00603E07">
              <w:rPr>
                <w:sz w:val="18"/>
                <w:szCs w:val="18"/>
              </w:rPr>
              <w:t xml:space="preserve"> </w:t>
            </w:r>
          </w:p>
        </w:tc>
      </w:tr>
      <w:tr w:rsidR="00230AF3" w:rsidRPr="007A6B32" w14:paraId="01663FA7" w14:textId="77777777" w:rsidTr="00E0168C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B4D2" w14:textId="77777777" w:rsidR="00230AF3" w:rsidRPr="007E136C" w:rsidRDefault="00230AF3" w:rsidP="00E0168C">
            <w:pPr>
              <w:spacing w:line="240" w:lineRule="auto"/>
              <w:ind w:left="22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CBDC" w14:textId="77777777" w:rsidR="00230AF3" w:rsidRPr="007E136C" w:rsidRDefault="00230AF3" w:rsidP="00E0168C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7C29" w14:textId="77777777" w:rsidR="00230AF3" w:rsidRPr="007E136C" w:rsidRDefault="00230AF3" w:rsidP="00E0168C">
            <w:pPr>
              <w:jc w:val="center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>Vyhovujúc</w:t>
            </w:r>
            <w:r>
              <w:rPr>
                <w:sz w:val="18"/>
                <w:szCs w:val="18"/>
              </w:rPr>
              <w:t>a kvalita</w:t>
            </w:r>
            <w:r w:rsidRPr="007E136C" w:rsidDel="008E15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DE14" w14:textId="12820E49" w:rsidR="00230AF3" w:rsidRDefault="00230AF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 w:rsidRPr="00D52383">
              <w:rPr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7" w:history="1">
              <w:r w:rsidRPr="008A1D51">
                <w:rPr>
                  <w:rStyle w:val="Hypertextovprepojenie"/>
                  <w:sz w:val="18"/>
                  <w:szCs w:val="18"/>
                </w:rPr>
                <w:t>http://www.shmu.sk/</w:t>
              </w:r>
            </w:hyperlink>
            <w:bookmarkStart w:id="0" w:name="_GoBack"/>
            <w:bookmarkEnd w:id="0"/>
            <w:r w:rsidR="007E4A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  <w:p w14:paraId="09EA6D0D" w14:textId="77777777" w:rsidR="00230AF3" w:rsidRPr="007E136C" w:rsidRDefault="00230AF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sz w:val="18"/>
                <w:szCs w:val="18"/>
              </w:rPr>
              <w:t xml:space="preserve">teploty, </w:t>
            </w:r>
            <w:r>
              <w:rPr>
                <w:sz w:val="18"/>
                <w:szCs w:val="18"/>
              </w:rPr>
              <w:t xml:space="preserve">zníženia </w:t>
            </w:r>
            <w:r w:rsidRPr="007E136C">
              <w:rPr>
                <w:sz w:val="18"/>
                <w:szCs w:val="18"/>
              </w:rPr>
              <w:t xml:space="preserve">obsahu kyslíka, </w:t>
            </w:r>
            <w:r>
              <w:rPr>
                <w:sz w:val="18"/>
                <w:szCs w:val="18"/>
              </w:rPr>
              <w:t xml:space="preserve">zvýšenia </w:t>
            </w:r>
            <w:r w:rsidRPr="007E136C">
              <w:rPr>
                <w:sz w:val="18"/>
                <w:szCs w:val="18"/>
              </w:rPr>
              <w:t>chemických i biologických ukazovateľov</w:t>
            </w:r>
            <w:r>
              <w:rPr>
                <w:sz w:val="18"/>
                <w:szCs w:val="18"/>
              </w:rPr>
              <w:t>.</w:t>
            </w:r>
          </w:p>
        </w:tc>
      </w:tr>
      <w:tr w:rsidR="00230AF3" w:rsidRPr="007A6B32" w14:paraId="4192C5EE" w14:textId="77777777" w:rsidTr="00E0168C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986C" w14:textId="77777777" w:rsidR="00230AF3" w:rsidRPr="007E136C" w:rsidRDefault="00230AF3" w:rsidP="00E0168C">
            <w:pPr>
              <w:spacing w:line="240" w:lineRule="auto"/>
              <w:ind w:left="22"/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4E44" w14:textId="77777777" w:rsidR="00230AF3" w:rsidRPr="007A6B32" w:rsidRDefault="00230AF3" w:rsidP="00E0168C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3C47" w14:textId="77777777" w:rsidR="00230AF3" w:rsidRPr="007A6B32" w:rsidRDefault="00230AF3" w:rsidP="00E0168C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44C3" w14:textId="77777777" w:rsidR="00230AF3" w:rsidRPr="007A6B32" w:rsidRDefault="00230AF3" w:rsidP="00E0168C">
            <w:pPr>
              <w:spacing w:line="240" w:lineRule="auto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Udržiavanie toku</w:t>
            </w:r>
            <w:r w:rsidRPr="007A6B32">
              <w:rPr>
                <w:sz w:val="18"/>
                <w:szCs w:val="18"/>
              </w:rPr>
              <w:t xml:space="preserve"> bez migračných bariér</w:t>
            </w:r>
            <w:r>
              <w:rPr>
                <w:sz w:val="18"/>
                <w:szCs w:val="18"/>
              </w:rPr>
              <w:t>, aby sa nebránilo migrácii za účelom neresenia</w:t>
            </w:r>
            <w:r w:rsidRPr="007A6B32">
              <w:rPr>
                <w:sz w:val="18"/>
                <w:szCs w:val="18"/>
              </w:rPr>
              <w:t xml:space="preserve">. </w:t>
            </w:r>
          </w:p>
        </w:tc>
      </w:tr>
      <w:tr w:rsidR="00230AF3" w:rsidRPr="007A6B32" w14:paraId="406B2608" w14:textId="77777777" w:rsidTr="00E0168C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142D" w14:textId="77777777" w:rsidR="00230AF3" w:rsidRPr="00A32EFF" w:rsidRDefault="00230AF3" w:rsidP="00E0168C">
            <w:pPr>
              <w:spacing w:line="240" w:lineRule="auto"/>
              <w:rPr>
                <w:sz w:val="18"/>
                <w:szCs w:val="18"/>
              </w:rPr>
            </w:pPr>
            <w:r w:rsidRPr="00A32EFF">
              <w:rPr>
                <w:sz w:val="18"/>
                <w:szCs w:val="18"/>
              </w:rPr>
              <w:lastRenderedPageBreak/>
              <w:t xml:space="preserve">Zastúpenie nepôvodných a inváznych druhov rýb v </w:t>
            </w:r>
            <w:proofErr w:type="spellStart"/>
            <w:r w:rsidRPr="00A32EFF">
              <w:rPr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DE97" w14:textId="77777777" w:rsidR="00230AF3" w:rsidRPr="007A6B32" w:rsidRDefault="00230AF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Percento (</w:t>
            </w:r>
            <w:r w:rsidRPr="007A6B32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EAF9" w14:textId="77777777" w:rsidR="00230AF3" w:rsidRPr="007A6B32" w:rsidRDefault="00230AF3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Menej ako </w:t>
            </w:r>
            <w:r w:rsidRPr="007A6B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A6B32">
              <w:rPr>
                <w:sz w:val="18"/>
                <w:szCs w:val="18"/>
              </w:rPr>
              <w:t>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1B10" w14:textId="77777777" w:rsidR="00230AF3" w:rsidRPr="007A6B32" w:rsidRDefault="00230AF3" w:rsidP="00E0168C">
            <w:pPr>
              <w:spacing w:line="240" w:lineRule="auto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699EC610" w14:textId="77777777" w:rsidR="00230AF3" w:rsidRDefault="00230AF3" w:rsidP="00230AF3">
      <w:pPr>
        <w:pStyle w:val="Zkladntext"/>
        <w:widowControl w:val="0"/>
        <w:jc w:val="both"/>
        <w:rPr>
          <w:b/>
        </w:rPr>
      </w:pPr>
    </w:p>
    <w:p w14:paraId="3926C906" w14:textId="77777777" w:rsidR="00230AF3" w:rsidRDefault="00230AF3" w:rsidP="00240459">
      <w:pPr>
        <w:pStyle w:val="Zkladntext"/>
        <w:widowControl w:val="0"/>
        <w:jc w:val="both"/>
        <w:rPr>
          <w:lang w:val="sk-SK"/>
        </w:rPr>
      </w:pPr>
    </w:p>
    <w:sectPr w:rsidR="0023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140708"/>
    <w:rsid w:val="00171BEC"/>
    <w:rsid w:val="001E6775"/>
    <w:rsid w:val="00203B08"/>
    <w:rsid w:val="00230AF3"/>
    <w:rsid w:val="00240459"/>
    <w:rsid w:val="003509FA"/>
    <w:rsid w:val="003E7F90"/>
    <w:rsid w:val="00440B93"/>
    <w:rsid w:val="004F7434"/>
    <w:rsid w:val="00562BB2"/>
    <w:rsid w:val="005C00AB"/>
    <w:rsid w:val="00632CCF"/>
    <w:rsid w:val="0069319A"/>
    <w:rsid w:val="007E4AAC"/>
    <w:rsid w:val="008D7F41"/>
    <w:rsid w:val="009667BE"/>
    <w:rsid w:val="00A4711A"/>
    <w:rsid w:val="00AB2A2D"/>
    <w:rsid w:val="00BF1520"/>
    <w:rsid w:val="00C65C57"/>
    <w:rsid w:val="00C9571F"/>
    <w:rsid w:val="00D76319"/>
    <w:rsid w:val="00D77700"/>
    <w:rsid w:val="00E437C8"/>
    <w:rsid w:val="00E64259"/>
    <w:rsid w:val="00EC67A6"/>
    <w:rsid w:val="00F0318A"/>
    <w:rsid w:val="00F30A19"/>
    <w:rsid w:val="00F436A8"/>
    <w:rsid w:val="087E62BA"/>
    <w:rsid w:val="1AFEFDD3"/>
    <w:rsid w:val="2F639094"/>
    <w:rsid w:val="3F0BE6CD"/>
    <w:rsid w:val="51035618"/>
    <w:rsid w:val="59FB5EF9"/>
    <w:rsid w:val="5BAB44B1"/>
    <w:rsid w:val="6ADC4720"/>
    <w:rsid w:val="6B9AF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" TargetMode="External"/><Relationship Id="rId5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f99d5b79255b439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2024-04-17T06:46:00Z</dcterms:created>
  <dcterms:modified xsi:type="dcterms:W3CDTF">2024-04-17T06:46:00Z</dcterms:modified>
</cp:coreProperties>
</file>