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51F3797" w:rsidR="000E05DA" w:rsidRDefault="007F5C95" w:rsidP="00770F48">
      <w:pPr>
        <w:spacing w:line="240" w:lineRule="auto"/>
        <w:jc w:val="both"/>
        <w:rPr>
          <w:b/>
          <w:sz w:val="28"/>
          <w:szCs w:val="28"/>
          <w:lang w:eastAsia="cs-CZ"/>
        </w:rPr>
      </w:pPr>
      <w:r>
        <w:rPr>
          <w:b/>
          <w:sz w:val="28"/>
          <w:szCs w:val="28"/>
          <w:lang w:eastAsia="cs-CZ"/>
        </w:rPr>
        <w:t>SKUEV0</w:t>
      </w:r>
      <w:r w:rsidR="004800D8">
        <w:rPr>
          <w:b/>
          <w:sz w:val="28"/>
          <w:szCs w:val="28"/>
          <w:lang w:eastAsia="cs-CZ"/>
        </w:rPr>
        <w:t>512</w:t>
      </w:r>
      <w:r w:rsidR="00E77FB2">
        <w:rPr>
          <w:b/>
          <w:sz w:val="28"/>
          <w:szCs w:val="28"/>
          <w:lang w:eastAsia="cs-CZ"/>
        </w:rPr>
        <w:t xml:space="preserve"> </w:t>
      </w:r>
      <w:r w:rsidR="004800D8">
        <w:rPr>
          <w:b/>
          <w:sz w:val="28"/>
          <w:szCs w:val="28"/>
          <w:lang w:eastAsia="cs-CZ"/>
        </w:rPr>
        <w:t>Mokrý les</w:t>
      </w:r>
    </w:p>
    <w:p w14:paraId="6DE8C982" w14:textId="69A44CC8" w:rsidR="00D76319" w:rsidRDefault="00D76319" w:rsidP="000560C8">
      <w:pPr>
        <w:pStyle w:val="Zkladntext"/>
        <w:widowControl w:val="0"/>
        <w:jc w:val="both"/>
        <w:rPr>
          <w:b/>
          <w:lang w:val="sk-SK"/>
        </w:rPr>
      </w:pPr>
      <w:r w:rsidRPr="00D76319">
        <w:rPr>
          <w:b/>
        </w:rPr>
        <w:t>Ciele ochrany</w:t>
      </w:r>
      <w:r w:rsidRPr="00D76319">
        <w:rPr>
          <w:b/>
          <w:lang w:val="sk-SK"/>
        </w:rPr>
        <w:t>:</w:t>
      </w:r>
    </w:p>
    <w:p w14:paraId="797E9CA3" w14:textId="77777777" w:rsidR="009A33B6" w:rsidRPr="00C9505C" w:rsidRDefault="009A33B6" w:rsidP="009A33B6">
      <w:pPr>
        <w:pStyle w:val="Zkladntext"/>
        <w:widowControl w:val="0"/>
        <w:jc w:val="both"/>
        <w:rPr>
          <w:color w:val="000000"/>
          <w:shd w:val="clear" w:color="auto" w:fill="FFFFFF"/>
        </w:rPr>
      </w:pPr>
      <w:r w:rsidRPr="00C9505C">
        <w:t xml:space="preserve">Zachovanie stavu biotopu </w:t>
      </w:r>
      <w:r w:rsidRPr="00C9505C">
        <w:rPr>
          <w:b/>
          <w:shd w:val="clear" w:color="auto" w:fill="FFFFFF"/>
        </w:rPr>
        <w:t>Ls1.2 (</w:t>
      </w:r>
      <w:r w:rsidRPr="00C9505C">
        <w:rPr>
          <w:b/>
          <w:lang w:eastAsia="sk-SK"/>
        </w:rPr>
        <w:t>91F0</w:t>
      </w:r>
      <w:r w:rsidRPr="00C9505C">
        <w:rPr>
          <w:b/>
          <w:shd w:val="clear" w:color="auto" w:fill="FFFFFF"/>
        </w:rPr>
        <w:t>) Dubovo-brestovo-jaseňové nížinné lužné lesy</w:t>
      </w:r>
      <w:r w:rsidRPr="00C9505C">
        <w:rPr>
          <w:shd w:val="clear" w:color="auto" w:fill="FFFFFF"/>
        </w:rPr>
        <w:t xml:space="preserve"> za splnenia nasledovných parametrov</w:t>
      </w:r>
      <w:r w:rsidRPr="00C9505C">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703"/>
      </w:tblGrid>
      <w:tr w:rsidR="009A33B6" w:rsidRPr="002C541F" w14:paraId="503B8431" w14:textId="77777777" w:rsidTr="00770F48">
        <w:trPr>
          <w:jc w:val="center"/>
        </w:trPr>
        <w:tc>
          <w:tcPr>
            <w:tcW w:w="1696" w:type="dxa"/>
            <w:tcMar>
              <w:top w:w="100" w:type="dxa"/>
              <w:left w:w="100" w:type="dxa"/>
              <w:bottom w:w="100" w:type="dxa"/>
              <w:right w:w="100" w:type="dxa"/>
            </w:tcMar>
          </w:tcPr>
          <w:p w14:paraId="094C10E1" w14:textId="77777777" w:rsidR="009A33B6" w:rsidRPr="002C541F" w:rsidRDefault="009A33B6" w:rsidP="002A4AEE">
            <w:pPr>
              <w:widowControl w:val="0"/>
              <w:spacing w:line="240" w:lineRule="auto"/>
              <w:jc w:val="center"/>
              <w:rPr>
                <w:b/>
                <w:sz w:val="18"/>
                <w:szCs w:val="18"/>
              </w:rPr>
            </w:pPr>
            <w:r w:rsidRPr="002C541F">
              <w:rPr>
                <w:b/>
                <w:sz w:val="18"/>
                <w:szCs w:val="18"/>
              </w:rPr>
              <w:t>Parameter</w:t>
            </w:r>
          </w:p>
        </w:tc>
        <w:tc>
          <w:tcPr>
            <w:tcW w:w="1418" w:type="dxa"/>
            <w:tcMar>
              <w:top w:w="100" w:type="dxa"/>
              <w:left w:w="100" w:type="dxa"/>
              <w:bottom w:w="100" w:type="dxa"/>
              <w:right w:w="100" w:type="dxa"/>
            </w:tcMar>
          </w:tcPr>
          <w:p w14:paraId="46303E5C" w14:textId="77777777" w:rsidR="009A33B6" w:rsidRPr="002C541F" w:rsidRDefault="009A33B6" w:rsidP="002A4AEE">
            <w:pPr>
              <w:widowControl w:val="0"/>
              <w:spacing w:line="240" w:lineRule="auto"/>
              <w:jc w:val="center"/>
              <w:rPr>
                <w:b/>
                <w:sz w:val="18"/>
                <w:szCs w:val="18"/>
              </w:rPr>
            </w:pPr>
            <w:r w:rsidRPr="002C541F">
              <w:rPr>
                <w:b/>
                <w:sz w:val="18"/>
                <w:szCs w:val="18"/>
              </w:rPr>
              <w:t>Merateľnosť</w:t>
            </w:r>
          </w:p>
        </w:tc>
        <w:tc>
          <w:tcPr>
            <w:tcW w:w="1559" w:type="dxa"/>
            <w:tcMar>
              <w:top w:w="100" w:type="dxa"/>
              <w:left w:w="100" w:type="dxa"/>
              <w:bottom w:w="100" w:type="dxa"/>
              <w:right w:w="100" w:type="dxa"/>
            </w:tcMar>
          </w:tcPr>
          <w:p w14:paraId="43D53939" w14:textId="77777777" w:rsidR="009A33B6" w:rsidRPr="002C541F" w:rsidRDefault="009A33B6" w:rsidP="002A4AEE">
            <w:pPr>
              <w:widowControl w:val="0"/>
              <w:spacing w:line="240" w:lineRule="auto"/>
              <w:jc w:val="center"/>
              <w:rPr>
                <w:b/>
                <w:sz w:val="18"/>
                <w:szCs w:val="18"/>
              </w:rPr>
            </w:pPr>
            <w:r w:rsidRPr="002C541F">
              <w:rPr>
                <w:b/>
                <w:sz w:val="18"/>
                <w:szCs w:val="18"/>
              </w:rPr>
              <w:t>Cieľová hodnota</w:t>
            </w:r>
          </w:p>
        </w:tc>
        <w:tc>
          <w:tcPr>
            <w:tcW w:w="4703" w:type="dxa"/>
            <w:tcMar>
              <w:top w:w="100" w:type="dxa"/>
              <w:left w:w="100" w:type="dxa"/>
              <w:bottom w:w="100" w:type="dxa"/>
              <w:right w:w="100" w:type="dxa"/>
            </w:tcMar>
          </w:tcPr>
          <w:p w14:paraId="66010577" w14:textId="77777777" w:rsidR="009A33B6" w:rsidRPr="002C541F" w:rsidRDefault="009A33B6" w:rsidP="002A4AEE">
            <w:pPr>
              <w:widowControl w:val="0"/>
              <w:spacing w:line="240" w:lineRule="auto"/>
              <w:jc w:val="center"/>
              <w:rPr>
                <w:b/>
                <w:sz w:val="18"/>
                <w:szCs w:val="18"/>
              </w:rPr>
            </w:pPr>
            <w:r w:rsidRPr="002C541F">
              <w:rPr>
                <w:b/>
                <w:sz w:val="18"/>
                <w:szCs w:val="18"/>
              </w:rPr>
              <w:t>Doplnkové informácie</w:t>
            </w:r>
          </w:p>
        </w:tc>
      </w:tr>
      <w:tr w:rsidR="009A33B6" w:rsidRPr="002C541F" w14:paraId="02B31DAD" w14:textId="77777777" w:rsidTr="00770F48">
        <w:trPr>
          <w:trHeight w:val="339"/>
          <w:jc w:val="center"/>
        </w:trPr>
        <w:tc>
          <w:tcPr>
            <w:tcW w:w="1696" w:type="dxa"/>
            <w:tcMar>
              <w:top w:w="100" w:type="dxa"/>
              <w:left w:w="100" w:type="dxa"/>
              <w:bottom w:w="100" w:type="dxa"/>
              <w:right w:w="100" w:type="dxa"/>
            </w:tcMar>
          </w:tcPr>
          <w:p w14:paraId="164B1D1A" w14:textId="77777777" w:rsidR="009A33B6" w:rsidRPr="002C541F" w:rsidRDefault="009A33B6" w:rsidP="002A4AEE">
            <w:pPr>
              <w:widowControl w:val="0"/>
              <w:spacing w:line="240" w:lineRule="auto"/>
              <w:rPr>
                <w:sz w:val="18"/>
                <w:szCs w:val="18"/>
              </w:rPr>
            </w:pPr>
            <w:r w:rsidRPr="002C541F">
              <w:rPr>
                <w:sz w:val="18"/>
                <w:szCs w:val="18"/>
              </w:rPr>
              <w:t xml:space="preserve">Výmera biotopu </w:t>
            </w:r>
          </w:p>
        </w:tc>
        <w:tc>
          <w:tcPr>
            <w:tcW w:w="1418" w:type="dxa"/>
            <w:tcMar>
              <w:top w:w="100" w:type="dxa"/>
              <w:left w:w="100" w:type="dxa"/>
              <w:bottom w:w="100" w:type="dxa"/>
              <w:right w:w="100" w:type="dxa"/>
            </w:tcMar>
          </w:tcPr>
          <w:p w14:paraId="5AA824FE" w14:textId="77777777" w:rsidR="009A33B6" w:rsidRPr="002C541F" w:rsidRDefault="009A33B6" w:rsidP="002A4AEE">
            <w:pPr>
              <w:widowControl w:val="0"/>
              <w:spacing w:line="240" w:lineRule="auto"/>
              <w:jc w:val="center"/>
              <w:rPr>
                <w:sz w:val="18"/>
                <w:szCs w:val="18"/>
              </w:rPr>
            </w:pPr>
            <w:r w:rsidRPr="002C541F">
              <w:rPr>
                <w:sz w:val="18"/>
                <w:szCs w:val="18"/>
              </w:rPr>
              <w:t>ha</w:t>
            </w:r>
          </w:p>
        </w:tc>
        <w:tc>
          <w:tcPr>
            <w:tcW w:w="1559" w:type="dxa"/>
            <w:tcMar>
              <w:top w:w="100" w:type="dxa"/>
              <w:left w:w="100" w:type="dxa"/>
              <w:bottom w:w="100" w:type="dxa"/>
              <w:right w:w="100" w:type="dxa"/>
            </w:tcMar>
          </w:tcPr>
          <w:p w14:paraId="7FA0071A" w14:textId="73A76915" w:rsidR="009A33B6" w:rsidRPr="002C541F" w:rsidRDefault="009A33B6" w:rsidP="002A4AEE">
            <w:pPr>
              <w:widowControl w:val="0"/>
              <w:spacing w:line="240" w:lineRule="auto"/>
              <w:jc w:val="center"/>
              <w:rPr>
                <w:sz w:val="18"/>
                <w:szCs w:val="18"/>
              </w:rPr>
            </w:pPr>
            <w:r w:rsidRPr="002C541F">
              <w:rPr>
                <w:sz w:val="18"/>
                <w:szCs w:val="18"/>
              </w:rPr>
              <w:t xml:space="preserve">min. </w:t>
            </w:r>
            <w:r w:rsidR="001B2605">
              <w:rPr>
                <w:sz w:val="18"/>
                <w:szCs w:val="18"/>
              </w:rPr>
              <w:t>62</w:t>
            </w:r>
          </w:p>
        </w:tc>
        <w:tc>
          <w:tcPr>
            <w:tcW w:w="4703" w:type="dxa"/>
            <w:tcMar>
              <w:top w:w="100" w:type="dxa"/>
              <w:left w:w="100" w:type="dxa"/>
              <w:bottom w:w="100" w:type="dxa"/>
              <w:right w:w="100" w:type="dxa"/>
            </w:tcMar>
          </w:tcPr>
          <w:p w14:paraId="393D60B0" w14:textId="77777777" w:rsidR="009A33B6" w:rsidRPr="002C541F" w:rsidRDefault="009A33B6" w:rsidP="002A4AEE">
            <w:pPr>
              <w:widowControl w:val="0"/>
              <w:spacing w:line="240" w:lineRule="auto"/>
              <w:jc w:val="both"/>
              <w:rPr>
                <w:sz w:val="18"/>
                <w:szCs w:val="18"/>
              </w:rPr>
            </w:pPr>
            <w:r w:rsidRPr="002C541F">
              <w:rPr>
                <w:color w:val="000000" w:themeColor="text1"/>
                <w:sz w:val="18"/>
                <w:szCs w:val="18"/>
              </w:rPr>
              <w:t>Udržanie súčasnej výmery biotopu.</w:t>
            </w:r>
          </w:p>
        </w:tc>
      </w:tr>
      <w:tr w:rsidR="009A33B6" w:rsidRPr="002C541F" w14:paraId="131DCC58" w14:textId="77777777" w:rsidTr="00770F48">
        <w:trPr>
          <w:trHeight w:val="179"/>
          <w:jc w:val="center"/>
        </w:trPr>
        <w:tc>
          <w:tcPr>
            <w:tcW w:w="1696" w:type="dxa"/>
            <w:tcMar>
              <w:top w:w="100" w:type="dxa"/>
              <w:left w:w="100" w:type="dxa"/>
              <w:bottom w:w="100" w:type="dxa"/>
              <w:right w:w="100" w:type="dxa"/>
            </w:tcMar>
          </w:tcPr>
          <w:p w14:paraId="2C86323E" w14:textId="77777777" w:rsidR="009A33B6" w:rsidRPr="002C541F" w:rsidRDefault="009A33B6" w:rsidP="002A4AEE">
            <w:pPr>
              <w:spacing w:line="240" w:lineRule="auto"/>
              <w:rPr>
                <w:sz w:val="18"/>
                <w:szCs w:val="18"/>
              </w:rPr>
            </w:pPr>
            <w:r w:rsidRPr="002C541F">
              <w:rPr>
                <w:sz w:val="18"/>
                <w:szCs w:val="18"/>
              </w:rPr>
              <w:t>Zastúpenie charakteristických drevín</w:t>
            </w:r>
          </w:p>
        </w:tc>
        <w:tc>
          <w:tcPr>
            <w:tcW w:w="1418" w:type="dxa"/>
            <w:tcMar>
              <w:top w:w="100" w:type="dxa"/>
              <w:left w:w="100" w:type="dxa"/>
              <w:bottom w:w="100" w:type="dxa"/>
              <w:right w:w="100" w:type="dxa"/>
            </w:tcMar>
          </w:tcPr>
          <w:p w14:paraId="33423770" w14:textId="77777777" w:rsidR="009A33B6" w:rsidRPr="002C541F" w:rsidRDefault="009A33B6" w:rsidP="002A4AEE">
            <w:pPr>
              <w:spacing w:line="240" w:lineRule="auto"/>
              <w:jc w:val="center"/>
              <w:rPr>
                <w:sz w:val="18"/>
                <w:szCs w:val="18"/>
                <w:vertAlign w:val="superscript"/>
              </w:rPr>
            </w:pPr>
            <w:r w:rsidRPr="002C541F">
              <w:rPr>
                <w:sz w:val="18"/>
                <w:szCs w:val="18"/>
              </w:rPr>
              <w:t>Percento pokrytia / ha</w:t>
            </w:r>
          </w:p>
        </w:tc>
        <w:tc>
          <w:tcPr>
            <w:tcW w:w="1559" w:type="dxa"/>
            <w:tcMar>
              <w:top w:w="100" w:type="dxa"/>
              <w:left w:w="100" w:type="dxa"/>
              <w:bottom w:w="100" w:type="dxa"/>
              <w:right w:w="100" w:type="dxa"/>
            </w:tcMar>
          </w:tcPr>
          <w:p w14:paraId="0E559609" w14:textId="77777777" w:rsidR="009A33B6" w:rsidRPr="002C541F" w:rsidRDefault="009A33B6" w:rsidP="002A4AEE">
            <w:pPr>
              <w:spacing w:line="240" w:lineRule="auto"/>
              <w:jc w:val="center"/>
              <w:rPr>
                <w:sz w:val="18"/>
                <w:szCs w:val="18"/>
              </w:rPr>
            </w:pPr>
            <w:r w:rsidRPr="002C541F">
              <w:rPr>
                <w:sz w:val="18"/>
                <w:szCs w:val="18"/>
              </w:rPr>
              <w:t>najmenej 85 %</w:t>
            </w:r>
          </w:p>
          <w:p w14:paraId="0469A2A7" w14:textId="77777777" w:rsidR="009A33B6" w:rsidRPr="002C541F" w:rsidRDefault="009A33B6" w:rsidP="002A4AEE">
            <w:pPr>
              <w:spacing w:line="240" w:lineRule="auto"/>
              <w:jc w:val="center"/>
              <w:rPr>
                <w:sz w:val="18"/>
                <w:szCs w:val="18"/>
                <w:vertAlign w:val="superscript"/>
              </w:rPr>
            </w:pPr>
          </w:p>
        </w:tc>
        <w:tc>
          <w:tcPr>
            <w:tcW w:w="4703" w:type="dxa"/>
            <w:tcMar>
              <w:top w:w="100" w:type="dxa"/>
              <w:left w:w="100" w:type="dxa"/>
              <w:bottom w:w="100" w:type="dxa"/>
              <w:right w:w="100" w:type="dxa"/>
            </w:tcMar>
          </w:tcPr>
          <w:p w14:paraId="639189CD" w14:textId="77777777" w:rsidR="009A33B6" w:rsidRPr="002C541F" w:rsidRDefault="009A33B6" w:rsidP="002A4AEE">
            <w:pPr>
              <w:spacing w:line="240" w:lineRule="auto"/>
              <w:rPr>
                <w:sz w:val="18"/>
                <w:szCs w:val="18"/>
              </w:rPr>
            </w:pPr>
            <w:r w:rsidRPr="002C541F">
              <w:rPr>
                <w:sz w:val="18"/>
                <w:szCs w:val="18"/>
              </w:rPr>
              <w:t xml:space="preserve">Charakteristická druhová skladba: </w:t>
            </w:r>
          </w:p>
          <w:p w14:paraId="616072F5" w14:textId="77777777" w:rsidR="009A33B6" w:rsidRPr="002C541F" w:rsidRDefault="009A33B6" w:rsidP="002A4AEE">
            <w:pPr>
              <w:spacing w:line="240" w:lineRule="auto"/>
              <w:rPr>
                <w:sz w:val="18"/>
                <w:szCs w:val="18"/>
              </w:rPr>
            </w:pPr>
            <w:r w:rsidRPr="002C541F">
              <w:rPr>
                <w:i/>
                <w:sz w:val="18"/>
                <w:szCs w:val="18"/>
              </w:rPr>
              <w:t>Acer campestre, Carpinus betulus, Cerasus avium, Crataegus monogyna,</w:t>
            </w:r>
            <w:r w:rsidRPr="002C541F">
              <w:rPr>
                <w:b/>
                <w:i/>
                <w:sz w:val="18"/>
                <w:szCs w:val="18"/>
              </w:rPr>
              <w:t xml:space="preserve"> Fraxinus angustifolia </w:t>
            </w:r>
            <w:r w:rsidRPr="002C541F">
              <w:rPr>
                <w:b/>
                <w:sz w:val="18"/>
                <w:szCs w:val="18"/>
              </w:rPr>
              <w:t>subsp.</w:t>
            </w:r>
            <w:r w:rsidRPr="002C541F">
              <w:rPr>
                <w:b/>
                <w:i/>
                <w:sz w:val="18"/>
                <w:szCs w:val="18"/>
              </w:rPr>
              <w:t xml:space="preserve"> danubialis, F. excelsior</w:t>
            </w:r>
            <w:r w:rsidRPr="002C541F">
              <w:rPr>
                <w:i/>
                <w:sz w:val="18"/>
                <w:szCs w:val="18"/>
              </w:rPr>
              <w:t>, Padus avium, Populus alba, Populus x canescens,  P. nigra,</w:t>
            </w:r>
            <w:r w:rsidRPr="002C541F">
              <w:rPr>
                <w:b/>
                <w:i/>
                <w:sz w:val="18"/>
                <w:szCs w:val="18"/>
              </w:rPr>
              <w:t xml:space="preserve"> Quercus robur </w:t>
            </w:r>
            <w:r w:rsidRPr="002C541F">
              <w:rPr>
                <w:b/>
                <w:sz w:val="18"/>
                <w:szCs w:val="18"/>
              </w:rPr>
              <w:t>agg.</w:t>
            </w:r>
            <w:r w:rsidRPr="002C541F">
              <w:rPr>
                <w:b/>
                <w:i/>
                <w:sz w:val="18"/>
                <w:szCs w:val="18"/>
              </w:rPr>
              <w:t xml:space="preserve"> , </w:t>
            </w:r>
            <w:r w:rsidRPr="002C541F">
              <w:rPr>
                <w:i/>
                <w:sz w:val="18"/>
                <w:szCs w:val="18"/>
              </w:rPr>
              <w:t>Salix alba,</w:t>
            </w:r>
            <w:r w:rsidRPr="002C541F">
              <w:rPr>
                <w:b/>
                <w:i/>
                <w:sz w:val="18"/>
                <w:szCs w:val="18"/>
              </w:rPr>
              <w:t xml:space="preserve"> </w:t>
            </w:r>
            <w:r w:rsidRPr="002C541F">
              <w:rPr>
                <w:i/>
                <w:sz w:val="18"/>
                <w:szCs w:val="18"/>
              </w:rPr>
              <w:t>S. fragilis,</w:t>
            </w:r>
            <w:r w:rsidRPr="002C541F">
              <w:rPr>
                <w:b/>
                <w:i/>
                <w:sz w:val="18"/>
                <w:szCs w:val="18"/>
              </w:rPr>
              <w:t xml:space="preserve"> </w:t>
            </w:r>
            <w:r w:rsidRPr="002C541F">
              <w:rPr>
                <w:i/>
                <w:sz w:val="18"/>
                <w:szCs w:val="18"/>
              </w:rPr>
              <w:t xml:space="preserve">Tilia cordata, </w:t>
            </w:r>
            <w:r w:rsidRPr="002C541F">
              <w:rPr>
                <w:b/>
                <w:i/>
                <w:sz w:val="18"/>
                <w:szCs w:val="18"/>
              </w:rPr>
              <w:t>Ulmus laevis</w:t>
            </w:r>
            <w:r w:rsidRPr="002C541F">
              <w:rPr>
                <w:i/>
                <w:sz w:val="18"/>
                <w:szCs w:val="18"/>
              </w:rPr>
              <w:t xml:space="preserve">, </w:t>
            </w:r>
            <w:r w:rsidRPr="002C541F">
              <w:rPr>
                <w:b/>
                <w:i/>
                <w:sz w:val="18"/>
                <w:szCs w:val="18"/>
              </w:rPr>
              <w:t>Ulmus minor</w:t>
            </w:r>
            <w:r w:rsidRPr="002C541F">
              <w:rPr>
                <w:sz w:val="18"/>
                <w:szCs w:val="18"/>
              </w:rPr>
              <w:t>.</w:t>
            </w:r>
          </w:p>
          <w:p w14:paraId="4C271A03" w14:textId="77777777" w:rsidR="009A33B6" w:rsidRPr="002C541F" w:rsidRDefault="009A33B6" w:rsidP="002A4AEE">
            <w:pPr>
              <w:spacing w:line="240" w:lineRule="auto"/>
              <w:jc w:val="both"/>
              <w:rPr>
                <w:sz w:val="18"/>
                <w:szCs w:val="18"/>
              </w:rPr>
            </w:pPr>
            <w:r w:rsidRPr="002C541F">
              <w:rPr>
                <w:b/>
                <w:sz w:val="18"/>
                <w:szCs w:val="18"/>
              </w:rPr>
              <w:t>Pozn.:</w:t>
            </w:r>
            <w:r w:rsidRPr="002C541F">
              <w:rPr>
                <w:sz w:val="18"/>
                <w:szCs w:val="18"/>
              </w:rPr>
              <w:t xml:space="preserve"> </w:t>
            </w:r>
            <w:r w:rsidRPr="002C541F">
              <w:rPr>
                <w:i/>
                <w:sz w:val="18"/>
                <w:szCs w:val="18"/>
              </w:rPr>
              <w:t>Hrubším typom písma sú vyznačené dominantné druhy biotopu</w:t>
            </w:r>
          </w:p>
        </w:tc>
      </w:tr>
      <w:tr w:rsidR="009A33B6" w:rsidRPr="002C541F" w14:paraId="3B615E99" w14:textId="77777777" w:rsidTr="00770F48">
        <w:trPr>
          <w:trHeight w:val="173"/>
          <w:jc w:val="center"/>
        </w:trPr>
        <w:tc>
          <w:tcPr>
            <w:tcW w:w="1696" w:type="dxa"/>
            <w:tcMar>
              <w:top w:w="100" w:type="dxa"/>
              <w:left w:w="100" w:type="dxa"/>
              <w:bottom w:w="100" w:type="dxa"/>
              <w:right w:w="100" w:type="dxa"/>
            </w:tcMar>
            <w:vAlign w:val="bottom"/>
          </w:tcPr>
          <w:p w14:paraId="79350AFB" w14:textId="77777777" w:rsidR="009A33B6" w:rsidRPr="002C541F" w:rsidRDefault="009A33B6" w:rsidP="002A4AEE">
            <w:pPr>
              <w:spacing w:line="240" w:lineRule="auto"/>
              <w:rPr>
                <w:sz w:val="18"/>
                <w:szCs w:val="18"/>
              </w:rPr>
            </w:pPr>
            <w:r w:rsidRPr="002C541F">
              <w:rPr>
                <w:color w:val="000000" w:themeColor="text1"/>
                <w:sz w:val="18"/>
                <w:szCs w:val="18"/>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tcPr>
          <w:p w14:paraId="02F3362C" w14:textId="77777777" w:rsidR="009A33B6" w:rsidRPr="002C541F" w:rsidRDefault="009A33B6" w:rsidP="002A4AEE">
            <w:pPr>
              <w:widowControl w:val="0"/>
              <w:spacing w:before="240" w:line="240" w:lineRule="auto"/>
              <w:jc w:val="center"/>
              <w:rPr>
                <w:sz w:val="18"/>
                <w:szCs w:val="18"/>
              </w:rPr>
            </w:pPr>
            <w:r w:rsidRPr="002C541F">
              <w:rPr>
                <w:sz w:val="18"/>
                <w:szCs w:val="18"/>
              </w:rPr>
              <w:t>Počet druhov / ha</w:t>
            </w:r>
          </w:p>
        </w:tc>
        <w:tc>
          <w:tcPr>
            <w:tcW w:w="1559" w:type="dxa"/>
            <w:shd w:val="clear" w:color="auto" w:fill="auto"/>
            <w:tcMar>
              <w:top w:w="100" w:type="dxa"/>
              <w:left w:w="100" w:type="dxa"/>
              <w:bottom w:w="100" w:type="dxa"/>
              <w:right w:w="100" w:type="dxa"/>
            </w:tcMar>
          </w:tcPr>
          <w:p w14:paraId="4771FA8B" w14:textId="77777777" w:rsidR="009A33B6" w:rsidRPr="002C541F" w:rsidRDefault="009A33B6" w:rsidP="002A4AEE">
            <w:pPr>
              <w:widowControl w:val="0"/>
              <w:spacing w:before="240" w:line="240" w:lineRule="auto"/>
              <w:jc w:val="center"/>
              <w:rPr>
                <w:sz w:val="18"/>
                <w:szCs w:val="18"/>
              </w:rPr>
            </w:pPr>
            <w:r w:rsidRPr="002C541F">
              <w:rPr>
                <w:sz w:val="18"/>
                <w:szCs w:val="18"/>
              </w:rPr>
              <w:t>najmenej 3</w:t>
            </w:r>
          </w:p>
        </w:tc>
        <w:tc>
          <w:tcPr>
            <w:tcW w:w="4703" w:type="dxa"/>
            <w:tcMar>
              <w:top w:w="100" w:type="dxa"/>
              <w:left w:w="100" w:type="dxa"/>
              <w:bottom w:w="100" w:type="dxa"/>
              <w:right w:w="100" w:type="dxa"/>
            </w:tcMar>
          </w:tcPr>
          <w:p w14:paraId="7AA5880D" w14:textId="77777777" w:rsidR="009A33B6" w:rsidRPr="002C541F" w:rsidRDefault="009A33B6" w:rsidP="002A4AEE">
            <w:pPr>
              <w:spacing w:line="240" w:lineRule="auto"/>
              <w:jc w:val="both"/>
              <w:rPr>
                <w:i/>
                <w:sz w:val="18"/>
                <w:szCs w:val="18"/>
              </w:rPr>
            </w:pPr>
            <w:r w:rsidRPr="002C541F">
              <w:rPr>
                <w:sz w:val="18"/>
                <w:szCs w:val="18"/>
              </w:rPr>
              <w:t xml:space="preserve">Charakteristická druhová skladba: </w:t>
            </w:r>
            <w:r w:rsidRPr="002C541F">
              <w:rPr>
                <w:b/>
                <w:i/>
                <w:sz w:val="18"/>
                <w:szCs w:val="18"/>
              </w:rPr>
              <w:t>Aegopodium podagraria</w:t>
            </w:r>
            <w:r w:rsidRPr="002C541F">
              <w:rPr>
                <w:i/>
                <w:sz w:val="18"/>
                <w:szCs w:val="18"/>
              </w:rPr>
              <w:t>,</w:t>
            </w:r>
            <w:r w:rsidRPr="002C541F">
              <w:rPr>
                <w:b/>
                <w:i/>
                <w:sz w:val="18"/>
                <w:szCs w:val="18"/>
              </w:rPr>
              <w:t xml:space="preserve"> Alliaria petiolata</w:t>
            </w:r>
            <w:r w:rsidRPr="002C541F">
              <w:rPr>
                <w:i/>
                <w:sz w:val="18"/>
                <w:szCs w:val="18"/>
              </w:rPr>
              <w:t>, Allium ursinum, Anemone ranunculoides, Campanula trachelium, Clematis vitalba, Corydalis cava, Ficaria bulbifera, Gagea lutea, Galium aparine, Glechoma hederacea, Humulus lupulus, Lamium maculatum, Leucojum vernum subsp. carpaticum (endemit), Phalaroides arundinacea, Rubus caesius.</w:t>
            </w:r>
          </w:p>
        </w:tc>
      </w:tr>
      <w:tr w:rsidR="009A33B6" w:rsidRPr="002C541F" w14:paraId="2AEBFCD5" w14:textId="77777777" w:rsidTr="00770F48">
        <w:trPr>
          <w:trHeight w:val="114"/>
          <w:jc w:val="center"/>
        </w:trPr>
        <w:tc>
          <w:tcPr>
            <w:tcW w:w="1696" w:type="dxa"/>
            <w:tcMar>
              <w:top w:w="100" w:type="dxa"/>
              <w:left w:w="100" w:type="dxa"/>
              <w:bottom w:w="100" w:type="dxa"/>
              <w:right w:w="100" w:type="dxa"/>
            </w:tcMar>
          </w:tcPr>
          <w:p w14:paraId="2176E16F" w14:textId="77777777" w:rsidR="009A33B6" w:rsidRPr="002C541F" w:rsidRDefault="009A33B6" w:rsidP="002A4AEE">
            <w:pPr>
              <w:spacing w:line="240" w:lineRule="auto"/>
              <w:rPr>
                <w:sz w:val="18"/>
                <w:szCs w:val="18"/>
              </w:rPr>
            </w:pPr>
            <w:r w:rsidRPr="002C541F">
              <w:rPr>
                <w:sz w:val="18"/>
                <w:szCs w:val="18"/>
              </w:rPr>
              <w:t>Zastúpenie nepôvodných /inváznych druhov drevín</w:t>
            </w:r>
          </w:p>
        </w:tc>
        <w:tc>
          <w:tcPr>
            <w:tcW w:w="1418" w:type="dxa"/>
            <w:tcMar>
              <w:top w:w="100" w:type="dxa"/>
              <w:left w:w="100" w:type="dxa"/>
              <w:bottom w:w="100" w:type="dxa"/>
              <w:right w:w="100" w:type="dxa"/>
            </w:tcMar>
          </w:tcPr>
          <w:p w14:paraId="68B32E99" w14:textId="77777777" w:rsidR="009A33B6" w:rsidRPr="002C541F" w:rsidRDefault="009A33B6" w:rsidP="002A4AEE">
            <w:pPr>
              <w:spacing w:line="240" w:lineRule="auto"/>
              <w:jc w:val="center"/>
              <w:rPr>
                <w:sz w:val="18"/>
                <w:szCs w:val="18"/>
              </w:rPr>
            </w:pPr>
            <w:r w:rsidRPr="002C541F">
              <w:rPr>
                <w:sz w:val="18"/>
                <w:szCs w:val="18"/>
              </w:rPr>
              <w:t>Percento pokrytia / ha</w:t>
            </w:r>
          </w:p>
        </w:tc>
        <w:tc>
          <w:tcPr>
            <w:tcW w:w="1559" w:type="dxa"/>
            <w:tcMar>
              <w:top w:w="100" w:type="dxa"/>
              <w:left w:w="100" w:type="dxa"/>
              <w:bottom w:w="100" w:type="dxa"/>
              <w:right w:w="100" w:type="dxa"/>
            </w:tcMar>
          </w:tcPr>
          <w:p w14:paraId="3D0F842A" w14:textId="77777777" w:rsidR="009A33B6" w:rsidRPr="002C541F" w:rsidRDefault="009A33B6" w:rsidP="002A4AEE">
            <w:pPr>
              <w:spacing w:line="240" w:lineRule="auto"/>
              <w:jc w:val="center"/>
              <w:rPr>
                <w:sz w:val="18"/>
                <w:szCs w:val="18"/>
              </w:rPr>
            </w:pPr>
            <w:r w:rsidRPr="002C541F">
              <w:rPr>
                <w:sz w:val="18"/>
                <w:szCs w:val="18"/>
              </w:rPr>
              <w:t>Menej ako 1 %</w:t>
            </w:r>
          </w:p>
        </w:tc>
        <w:tc>
          <w:tcPr>
            <w:tcW w:w="4703" w:type="dxa"/>
            <w:tcMar>
              <w:top w:w="100" w:type="dxa"/>
              <w:left w:w="100" w:type="dxa"/>
              <w:bottom w:w="100" w:type="dxa"/>
              <w:right w:w="100" w:type="dxa"/>
            </w:tcMar>
            <w:vAlign w:val="bottom"/>
          </w:tcPr>
          <w:p w14:paraId="174E1E45" w14:textId="77777777" w:rsidR="009A33B6" w:rsidRPr="002C541F" w:rsidRDefault="009A33B6" w:rsidP="002A4AEE">
            <w:pPr>
              <w:spacing w:line="240" w:lineRule="auto"/>
              <w:jc w:val="both"/>
              <w:rPr>
                <w:sz w:val="18"/>
                <w:szCs w:val="18"/>
              </w:rPr>
            </w:pPr>
            <w:r w:rsidRPr="002C541F">
              <w:rPr>
                <w:color w:val="000000" w:themeColor="text1"/>
                <w:sz w:val="18"/>
                <w:szCs w:val="18"/>
              </w:rPr>
              <w:t>Minimálne zastúpenie alochtónnych – klony topoľov a inváznych druhov drevín v biotope (</w:t>
            </w:r>
            <w:r w:rsidRPr="002C541F">
              <w:rPr>
                <w:i/>
                <w:color w:val="000000" w:themeColor="text1"/>
                <w:sz w:val="18"/>
                <w:szCs w:val="18"/>
              </w:rPr>
              <w:t>Negundo aceroides, Aulanthus altissima</w:t>
            </w:r>
            <w:r w:rsidRPr="002C541F">
              <w:rPr>
                <w:color w:val="000000" w:themeColor="text1"/>
                <w:sz w:val="18"/>
                <w:szCs w:val="18"/>
              </w:rPr>
              <w:t>) a bylín (</w:t>
            </w:r>
            <w:r w:rsidRPr="002C541F">
              <w:rPr>
                <w:i/>
                <w:color w:val="000000" w:themeColor="text1"/>
                <w:sz w:val="18"/>
                <w:szCs w:val="18"/>
              </w:rPr>
              <w:t>Fallopia sp., Impatiens glandulifera, Aster sp., Solidago giganthea</w:t>
            </w:r>
            <w:r w:rsidRPr="002C541F">
              <w:rPr>
                <w:color w:val="000000" w:themeColor="text1"/>
                <w:sz w:val="18"/>
                <w:szCs w:val="18"/>
              </w:rPr>
              <w:t>)</w:t>
            </w:r>
          </w:p>
        </w:tc>
      </w:tr>
      <w:tr w:rsidR="009A33B6" w:rsidRPr="002C541F" w14:paraId="4D109532" w14:textId="77777777" w:rsidTr="00770F48">
        <w:trPr>
          <w:trHeight w:val="114"/>
          <w:jc w:val="center"/>
        </w:trPr>
        <w:tc>
          <w:tcPr>
            <w:tcW w:w="1696" w:type="dxa"/>
            <w:tcMar>
              <w:top w:w="100" w:type="dxa"/>
              <w:left w:w="100" w:type="dxa"/>
              <w:bottom w:w="100" w:type="dxa"/>
              <w:right w:w="100" w:type="dxa"/>
            </w:tcMar>
          </w:tcPr>
          <w:p w14:paraId="3A4F40F6" w14:textId="77777777" w:rsidR="009A33B6" w:rsidRPr="002C541F" w:rsidRDefault="009A33B6" w:rsidP="002A4AEE">
            <w:pPr>
              <w:spacing w:line="240" w:lineRule="auto"/>
              <w:rPr>
                <w:sz w:val="18"/>
                <w:szCs w:val="18"/>
              </w:rPr>
            </w:pPr>
            <w:r w:rsidRPr="002C541F">
              <w:rPr>
                <w:sz w:val="18"/>
                <w:szCs w:val="18"/>
              </w:rPr>
              <w:t>Odumreté drevo (stojace, ležiace kmene stromov hlavnej úrovne)</w:t>
            </w:r>
          </w:p>
        </w:tc>
        <w:tc>
          <w:tcPr>
            <w:tcW w:w="1418" w:type="dxa"/>
            <w:tcMar>
              <w:top w:w="100" w:type="dxa"/>
              <w:left w:w="100" w:type="dxa"/>
              <w:bottom w:w="100" w:type="dxa"/>
              <w:right w:w="100" w:type="dxa"/>
            </w:tcMar>
          </w:tcPr>
          <w:p w14:paraId="0D7BDF15" w14:textId="77777777" w:rsidR="009A33B6" w:rsidRPr="002C541F" w:rsidRDefault="009A33B6" w:rsidP="002A4AEE">
            <w:pPr>
              <w:spacing w:line="240" w:lineRule="auto"/>
              <w:jc w:val="center"/>
              <w:rPr>
                <w:sz w:val="18"/>
                <w:szCs w:val="18"/>
              </w:rPr>
            </w:pPr>
            <w:r w:rsidRPr="002C541F">
              <w:rPr>
                <w:sz w:val="18"/>
                <w:szCs w:val="18"/>
              </w:rPr>
              <w:t>m</w:t>
            </w:r>
            <w:r w:rsidRPr="002C541F">
              <w:rPr>
                <w:sz w:val="18"/>
                <w:szCs w:val="18"/>
                <w:vertAlign w:val="superscript"/>
              </w:rPr>
              <w:t>3</w:t>
            </w:r>
            <w:r w:rsidRPr="002C541F">
              <w:rPr>
                <w:sz w:val="18"/>
                <w:szCs w:val="18"/>
              </w:rPr>
              <w:t>/ha</w:t>
            </w:r>
          </w:p>
        </w:tc>
        <w:tc>
          <w:tcPr>
            <w:tcW w:w="1559" w:type="dxa"/>
            <w:tcMar>
              <w:top w:w="100" w:type="dxa"/>
              <w:left w:w="100" w:type="dxa"/>
              <w:bottom w:w="100" w:type="dxa"/>
              <w:right w:w="100" w:type="dxa"/>
            </w:tcMar>
          </w:tcPr>
          <w:p w14:paraId="6429E791" w14:textId="77777777" w:rsidR="009A33B6" w:rsidRPr="002C541F" w:rsidRDefault="009A33B6" w:rsidP="002A4AEE">
            <w:pPr>
              <w:spacing w:line="240" w:lineRule="auto"/>
              <w:jc w:val="center"/>
              <w:rPr>
                <w:sz w:val="18"/>
                <w:szCs w:val="18"/>
              </w:rPr>
            </w:pPr>
            <w:r w:rsidRPr="002C541F">
              <w:rPr>
                <w:sz w:val="18"/>
                <w:szCs w:val="18"/>
              </w:rPr>
              <w:t>najmenej 20</w:t>
            </w:r>
          </w:p>
          <w:p w14:paraId="36A595B2" w14:textId="77777777" w:rsidR="009A33B6" w:rsidRPr="002C541F" w:rsidRDefault="009A33B6" w:rsidP="002A4AEE">
            <w:pPr>
              <w:spacing w:line="240" w:lineRule="auto"/>
              <w:jc w:val="center"/>
              <w:rPr>
                <w:sz w:val="18"/>
                <w:szCs w:val="18"/>
              </w:rPr>
            </w:pPr>
            <w:r w:rsidRPr="002C541F">
              <w:rPr>
                <w:sz w:val="18"/>
                <w:szCs w:val="18"/>
              </w:rPr>
              <w:t>rovnomerne po celej ploche</w:t>
            </w:r>
          </w:p>
        </w:tc>
        <w:tc>
          <w:tcPr>
            <w:tcW w:w="4703" w:type="dxa"/>
            <w:tcMar>
              <w:top w:w="100" w:type="dxa"/>
              <w:left w:w="100" w:type="dxa"/>
              <w:bottom w:w="100" w:type="dxa"/>
              <w:right w:w="100" w:type="dxa"/>
            </w:tcMar>
            <w:vAlign w:val="bottom"/>
          </w:tcPr>
          <w:p w14:paraId="096C9659" w14:textId="77777777" w:rsidR="009A33B6" w:rsidRPr="002C541F" w:rsidRDefault="009A33B6" w:rsidP="002A4AEE">
            <w:pPr>
              <w:spacing w:line="240" w:lineRule="auto"/>
              <w:rPr>
                <w:color w:val="000000" w:themeColor="text1"/>
                <w:sz w:val="18"/>
                <w:szCs w:val="18"/>
              </w:rPr>
            </w:pPr>
            <w:r w:rsidRPr="002C541F">
              <w:rPr>
                <w:color w:val="000000" w:themeColor="text1"/>
                <w:sz w:val="18"/>
                <w:szCs w:val="18"/>
              </w:rPr>
              <w:t>Prítomnosť odumretého dreva na ploche biotopu v danom objeme.</w:t>
            </w:r>
          </w:p>
          <w:p w14:paraId="25D08F27" w14:textId="77777777" w:rsidR="009A33B6" w:rsidRPr="002C541F" w:rsidRDefault="009A33B6" w:rsidP="002A4AEE">
            <w:pPr>
              <w:spacing w:line="240" w:lineRule="auto"/>
              <w:jc w:val="both"/>
              <w:rPr>
                <w:sz w:val="18"/>
                <w:szCs w:val="18"/>
              </w:rPr>
            </w:pPr>
          </w:p>
        </w:tc>
      </w:tr>
      <w:tr w:rsidR="009A33B6" w:rsidRPr="002C541F" w14:paraId="6C050A98" w14:textId="77777777" w:rsidTr="00770F48">
        <w:trPr>
          <w:trHeight w:val="114"/>
          <w:jc w:val="center"/>
        </w:trPr>
        <w:tc>
          <w:tcPr>
            <w:tcW w:w="1696" w:type="dxa"/>
            <w:tcMar>
              <w:top w:w="100" w:type="dxa"/>
              <w:left w:w="100" w:type="dxa"/>
              <w:bottom w:w="100" w:type="dxa"/>
              <w:right w:w="100" w:type="dxa"/>
            </w:tcMar>
            <w:vAlign w:val="center"/>
          </w:tcPr>
          <w:p w14:paraId="10388AB0" w14:textId="77777777" w:rsidR="009A33B6" w:rsidRPr="002C541F" w:rsidRDefault="009A33B6" w:rsidP="002A4AEE">
            <w:pPr>
              <w:spacing w:line="240" w:lineRule="auto"/>
              <w:rPr>
                <w:sz w:val="18"/>
                <w:szCs w:val="18"/>
              </w:rPr>
            </w:pPr>
            <w:r w:rsidRPr="002C541F">
              <w:rPr>
                <w:rFonts w:eastAsia="Times New Roman"/>
                <w:sz w:val="18"/>
                <w:szCs w:val="18"/>
              </w:rPr>
              <w:t>Zachovalá prirodzená dynamika toku</w:t>
            </w:r>
          </w:p>
        </w:tc>
        <w:tc>
          <w:tcPr>
            <w:tcW w:w="1418" w:type="dxa"/>
            <w:tcMar>
              <w:top w:w="100" w:type="dxa"/>
              <w:left w:w="100" w:type="dxa"/>
              <w:bottom w:w="100" w:type="dxa"/>
              <w:right w:w="100" w:type="dxa"/>
            </w:tcMar>
            <w:vAlign w:val="center"/>
          </w:tcPr>
          <w:p w14:paraId="642D4E83" w14:textId="77777777" w:rsidR="009A33B6" w:rsidRPr="002C541F" w:rsidRDefault="009A33B6" w:rsidP="002A4AEE">
            <w:pPr>
              <w:spacing w:line="240" w:lineRule="auto"/>
              <w:jc w:val="center"/>
              <w:rPr>
                <w:sz w:val="18"/>
                <w:szCs w:val="18"/>
              </w:rPr>
            </w:pPr>
            <w:r w:rsidRPr="002C541F">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3929E9DB" w14:textId="77777777" w:rsidR="009A33B6" w:rsidRPr="002C541F" w:rsidRDefault="009A33B6" w:rsidP="002A4AEE">
            <w:pPr>
              <w:spacing w:line="240" w:lineRule="auto"/>
              <w:jc w:val="center"/>
              <w:rPr>
                <w:sz w:val="18"/>
                <w:szCs w:val="18"/>
              </w:rPr>
            </w:pPr>
            <w:r w:rsidRPr="002C541F">
              <w:rPr>
                <w:rFonts w:eastAsia="Times New Roman"/>
                <w:sz w:val="18"/>
                <w:szCs w:val="18"/>
              </w:rPr>
              <w:t>Na celom toku v UEV a v jeho bezprostrednom okolí</w:t>
            </w:r>
          </w:p>
        </w:tc>
        <w:tc>
          <w:tcPr>
            <w:tcW w:w="4703" w:type="dxa"/>
            <w:tcMar>
              <w:top w:w="100" w:type="dxa"/>
              <w:left w:w="100" w:type="dxa"/>
              <w:bottom w:w="100" w:type="dxa"/>
              <w:right w:w="100" w:type="dxa"/>
            </w:tcMar>
            <w:vAlign w:val="center"/>
          </w:tcPr>
          <w:p w14:paraId="17FD507A" w14:textId="77777777" w:rsidR="009A33B6" w:rsidRPr="002C541F" w:rsidRDefault="009A33B6" w:rsidP="002A4AEE">
            <w:pPr>
              <w:spacing w:line="240" w:lineRule="auto"/>
              <w:rPr>
                <w:color w:val="000000" w:themeColor="text1"/>
                <w:sz w:val="18"/>
                <w:szCs w:val="18"/>
              </w:rPr>
            </w:pPr>
            <w:r w:rsidRPr="002C541F">
              <w:rPr>
                <w:rFonts w:eastAsia="Times New Roman"/>
                <w:sz w:val="18"/>
                <w:szCs w:val="18"/>
              </w:rPr>
              <w:t>Tok bez prekážok spôsobujúcich spomalenie vodného toku, odklonenie toku, hrádze, zníženie prietočnosti.</w:t>
            </w:r>
          </w:p>
        </w:tc>
      </w:tr>
    </w:tbl>
    <w:p w14:paraId="723BC196" w14:textId="77777777" w:rsidR="009A33B6" w:rsidRDefault="009A33B6" w:rsidP="00D051AA">
      <w:pPr>
        <w:pStyle w:val="Zkladntext"/>
        <w:widowControl w:val="0"/>
        <w:jc w:val="both"/>
        <w:rPr>
          <w:color w:val="000000"/>
          <w:lang w:val="sk-SK"/>
        </w:rPr>
      </w:pPr>
    </w:p>
    <w:p w14:paraId="3AA936B4" w14:textId="67603E1D" w:rsidR="00D051AA" w:rsidRPr="00770F48" w:rsidRDefault="00D051AA" w:rsidP="00D051AA">
      <w:pPr>
        <w:pStyle w:val="Zkladntext"/>
        <w:widowControl w:val="0"/>
        <w:jc w:val="both"/>
        <w:rPr>
          <w:b/>
          <w:color w:val="000000" w:themeColor="text1"/>
          <w:shd w:val="clear" w:color="auto" w:fill="FFFFFF"/>
        </w:rPr>
      </w:pPr>
      <w:r w:rsidRPr="00770F48">
        <w:rPr>
          <w:color w:val="000000" w:themeColor="text1"/>
          <w:lang w:val="sk-SK"/>
        </w:rPr>
        <w:t xml:space="preserve">Zachovanie </w:t>
      </w:r>
      <w:r w:rsidRPr="00770F48">
        <w:rPr>
          <w:color w:val="000000" w:themeColor="text1"/>
        </w:rPr>
        <w:t xml:space="preserve">stavu biotopu </w:t>
      </w:r>
      <w:r w:rsidRPr="00770F48">
        <w:rPr>
          <w:b/>
          <w:color w:val="000000" w:themeColor="text1"/>
        </w:rPr>
        <w:t xml:space="preserve">Ls1.3 </w:t>
      </w:r>
      <w:r w:rsidRPr="00770F48">
        <w:rPr>
          <w:b/>
          <w:color w:val="000000" w:themeColor="text1"/>
          <w:shd w:val="clear" w:color="auto" w:fill="FFFFFF"/>
        </w:rPr>
        <w:t>(</w:t>
      </w:r>
      <w:r w:rsidRPr="00770F48">
        <w:rPr>
          <w:b/>
          <w:color w:val="000000" w:themeColor="text1"/>
          <w:lang w:eastAsia="sk-SK"/>
        </w:rPr>
        <w:t>91E0*</w:t>
      </w:r>
      <w:r w:rsidRPr="00770F48">
        <w:rPr>
          <w:b/>
          <w:color w:val="000000" w:themeColor="text1"/>
          <w:shd w:val="clear" w:color="auto" w:fill="FFFFFF"/>
        </w:rPr>
        <w:t>) Jaseňovo-jelšové podhorské lužné</w:t>
      </w:r>
      <w:r w:rsidRPr="00770F48">
        <w:rPr>
          <w:color w:val="000000" w:themeColor="text1"/>
          <w:shd w:val="clear" w:color="auto" w:fill="FFFFFF"/>
        </w:rPr>
        <w:t xml:space="preserve"> </w:t>
      </w:r>
      <w:r w:rsidRPr="00770F48">
        <w:rPr>
          <w:b/>
          <w:color w:val="000000" w:themeColor="text1"/>
          <w:shd w:val="clear" w:color="auto" w:fill="FFFFFF"/>
        </w:rPr>
        <w:t>lesy</w:t>
      </w:r>
      <w:r w:rsidRPr="00770F48">
        <w:rPr>
          <w:color w:val="000000" w:themeColor="text1"/>
        </w:rPr>
        <w:t xml:space="preserve"> za splnenia nasledovných atribútov</w:t>
      </w:r>
      <w:r w:rsidRPr="00770F48">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D051AA" w:rsidRPr="0000010E" w14:paraId="4EB49833" w14:textId="77777777" w:rsidTr="00931E7A">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417"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4845"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931E7A">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417" w:type="dxa"/>
            <w:tcMar>
              <w:top w:w="100" w:type="dxa"/>
              <w:left w:w="100" w:type="dxa"/>
              <w:bottom w:w="100" w:type="dxa"/>
              <w:right w:w="100" w:type="dxa"/>
            </w:tcMar>
          </w:tcPr>
          <w:p w14:paraId="6A06354D" w14:textId="64D4E873" w:rsidR="00D051AA" w:rsidRPr="00775056" w:rsidRDefault="001B2605" w:rsidP="002A4AEE">
            <w:pPr>
              <w:widowControl w:val="0"/>
              <w:spacing w:line="240" w:lineRule="auto"/>
              <w:jc w:val="center"/>
              <w:rPr>
                <w:color w:val="000000"/>
                <w:sz w:val="18"/>
                <w:szCs w:val="18"/>
              </w:rPr>
            </w:pPr>
            <w:r>
              <w:rPr>
                <w:color w:val="000000"/>
                <w:sz w:val="18"/>
                <w:szCs w:val="18"/>
              </w:rPr>
              <w:t>35</w:t>
            </w:r>
          </w:p>
        </w:tc>
        <w:tc>
          <w:tcPr>
            <w:tcW w:w="4845"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931E7A">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417"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4845" w:type="dxa"/>
            <w:tcMar>
              <w:top w:w="100" w:type="dxa"/>
              <w:left w:w="100" w:type="dxa"/>
              <w:bottom w:w="100" w:type="dxa"/>
              <w:right w:w="100" w:type="dxa"/>
            </w:tcMar>
            <w:vAlign w:val="bottom"/>
          </w:tcPr>
          <w:p w14:paraId="06974FAB" w14:textId="6CFFEBD4" w:rsidR="00D051AA" w:rsidRPr="00AE6C2D" w:rsidRDefault="00D051AA" w:rsidP="00931E7A">
            <w:pPr>
              <w:spacing w:line="240" w:lineRule="auto"/>
              <w:rPr>
                <w:b/>
                <w:sz w:val="18"/>
                <w:szCs w:val="18"/>
              </w:rPr>
            </w:pPr>
            <w:r w:rsidRPr="00AE6C2D">
              <w:rPr>
                <w:color w:val="000000"/>
                <w:sz w:val="18"/>
                <w:szCs w:val="18"/>
              </w:rPr>
              <w:t>Charakteristická druhová skladba:</w:t>
            </w:r>
            <w:r w:rsidR="00931E7A">
              <w:rPr>
                <w:color w:val="000000"/>
                <w:sz w:val="18"/>
                <w:szCs w:val="18"/>
              </w:rPr>
              <w:t xml:space="preserve"> </w:t>
            </w: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931E7A">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4845" w:type="dxa"/>
            <w:tcMar>
              <w:top w:w="100" w:type="dxa"/>
              <w:left w:w="100" w:type="dxa"/>
              <w:bottom w:w="100" w:type="dxa"/>
              <w:right w:w="100" w:type="dxa"/>
            </w:tcMar>
            <w:vAlign w:val="bottom"/>
          </w:tcPr>
          <w:p w14:paraId="0DC35FA5" w14:textId="771CCB82" w:rsidR="00D051AA" w:rsidRPr="00AE6C2D" w:rsidRDefault="00D051AA" w:rsidP="00931E7A">
            <w:pPr>
              <w:spacing w:line="240" w:lineRule="auto"/>
              <w:jc w:val="both"/>
              <w:rPr>
                <w:i/>
                <w:color w:val="000000"/>
                <w:sz w:val="18"/>
                <w:szCs w:val="18"/>
              </w:rPr>
            </w:pPr>
            <w:r w:rsidRPr="00775056">
              <w:rPr>
                <w:color w:val="000000"/>
                <w:sz w:val="18"/>
                <w:szCs w:val="18"/>
              </w:rPr>
              <w:t>Charakteristická druhová skladba:</w:t>
            </w:r>
            <w:r w:rsidR="00931E7A">
              <w:rPr>
                <w:color w:val="000000"/>
                <w:sz w:val="18"/>
                <w:szCs w:val="18"/>
              </w:rPr>
              <w:t xml:space="preserve"> </w:t>
            </w: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931E7A">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417"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845"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931E7A">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417"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4845"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931E7A">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417"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4845"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77777777" w:rsidR="00E71F26" w:rsidRDefault="00E71F26" w:rsidP="007C19AA">
      <w:pPr>
        <w:pStyle w:val="Zkladntext"/>
        <w:widowControl w:val="0"/>
        <w:jc w:val="both"/>
        <w:rPr>
          <w:lang w:val="sk-SK"/>
        </w:rPr>
      </w:pPr>
    </w:p>
    <w:p w14:paraId="5E4852BF" w14:textId="694DAA32"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9493" w:type="dxa"/>
        <w:tblLayout w:type="fixed"/>
        <w:tblCellMar>
          <w:left w:w="70" w:type="dxa"/>
          <w:right w:w="70" w:type="dxa"/>
        </w:tblCellMar>
        <w:tblLook w:val="04A0" w:firstRow="1" w:lastRow="0" w:firstColumn="1" w:lastColumn="0" w:noHBand="0" w:noVBand="1"/>
      </w:tblPr>
      <w:tblGrid>
        <w:gridCol w:w="1916"/>
        <w:gridCol w:w="1361"/>
        <w:gridCol w:w="1134"/>
        <w:gridCol w:w="5082"/>
      </w:tblGrid>
      <w:tr w:rsidR="007C19AA" w:rsidRPr="00626A09" w14:paraId="6CE5E486" w14:textId="77777777" w:rsidTr="00931E7A">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5082"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931E7A">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66B6694B" w:rsidR="007C19AA" w:rsidRPr="00903DA4" w:rsidRDefault="00E71F26" w:rsidP="00B1033B">
            <w:pPr>
              <w:spacing w:after="0" w:line="240" w:lineRule="auto"/>
              <w:jc w:val="center"/>
              <w:rPr>
                <w:rFonts w:eastAsia="Times New Roman"/>
                <w:sz w:val="20"/>
                <w:szCs w:val="20"/>
              </w:rPr>
            </w:pPr>
            <w:r>
              <w:rPr>
                <w:sz w:val="20"/>
                <w:szCs w:val="20"/>
              </w:rPr>
              <w:t>3,5</w:t>
            </w:r>
          </w:p>
        </w:tc>
        <w:tc>
          <w:tcPr>
            <w:tcW w:w="5082"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931E7A">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5082"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931E7A">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5082"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931E7A">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082" w:type="dxa"/>
            <w:tcBorders>
              <w:top w:val="nil"/>
              <w:left w:val="nil"/>
              <w:bottom w:val="single" w:sz="4" w:space="0" w:color="auto"/>
              <w:right w:val="single" w:sz="4" w:space="0" w:color="auto"/>
            </w:tcBorders>
            <w:shd w:val="clear" w:color="auto" w:fill="auto"/>
          </w:tcPr>
          <w:p w14:paraId="1CEADF05" w14:textId="150EDA88" w:rsidR="007C19AA" w:rsidRPr="00D62ADC" w:rsidRDefault="007C19AA" w:rsidP="00B1033B">
            <w:pPr>
              <w:spacing w:after="0" w:line="240" w:lineRule="auto"/>
              <w:jc w:val="both"/>
              <w:rPr>
                <w:rFonts w:eastAsia="Times New Roman"/>
                <w:sz w:val="20"/>
                <w:szCs w:val="20"/>
              </w:rPr>
            </w:pPr>
            <w:r w:rsidRPr="00D62ADC">
              <w:rPr>
                <w:sz w:val="20"/>
                <w:szCs w:val="20"/>
              </w:rPr>
              <w:t xml:space="preserve">V zmysle výsledkov sledovania </w:t>
            </w:r>
            <w:r w:rsidR="00931E7A">
              <w:rPr>
                <w:sz w:val="20"/>
                <w:szCs w:val="20"/>
              </w:rPr>
              <w:t>stavu kvality vody v toku</w:t>
            </w:r>
            <w:r w:rsidRPr="00D62ADC">
              <w:rPr>
                <w:sz w:val="20"/>
                <w:szCs w:val="20"/>
              </w:rPr>
              <w:t xml:space="preserve">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3D567E81" w:rsidR="007C19AA" w:rsidRDefault="007C19AA" w:rsidP="003A6881">
      <w:pPr>
        <w:pStyle w:val="Zkladntext"/>
        <w:widowControl w:val="0"/>
        <w:jc w:val="both"/>
        <w:rPr>
          <w:lang w:val="sk-SK"/>
        </w:rPr>
      </w:pPr>
    </w:p>
    <w:p w14:paraId="577F195E" w14:textId="798574B3" w:rsidR="008A4449" w:rsidRPr="00395723" w:rsidRDefault="008A4449" w:rsidP="008A4449">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A4449" w:rsidRPr="00395723" w14:paraId="4950F4E5"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225C"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71BFCE3"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C165A8"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65CC06"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Doplnkové informácie</w:t>
            </w:r>
          </w:p>
        </w:tc>
      </w:tr>
      <w:tr w:rsidR="008A4449" w:rsidRPr="00395723" w14:paraId="53D01692"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D28D"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CD5180"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BC7304"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795404A" w14:textId="38E29674" w:rsidR="008A4449" w:rsidRPr="00395723" w:rsidRDefault="008A4449" w:rsidP="00931E7A">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Pr>
                <w:rFonts w:eastAsia="Times New Roman"/>
                <w:sz w:val="20"/>
                <w:szCs w:val="20"/>
              </w:rPr>
              <w:t>0</w:t>
            </w:r>
            <w:r w:rsidR="009C2B5F">
              <w:rPr>
                <w:rFonts w:eastAsia="Times New Roman"/>
                <w:sz w:val="20"/>
                <w:szCs w:val="20"/>
              </w:rPr>
              <w:t>0</w:t>
            </w:r>
            <w:r>
              <w:rPr>
                <w:rFonts w:eastAsia="Times New Roman"/>
                <w:sz w:val="20"/>
                <w:szCs w:val="20"/>
              </w:rPr>
              <w:t xml:space="preserve"> –</w:t>
            </w:r>
            <w:r w:rsidR="009C2B5F">
              <w:rPr>
                <w:rFonts w:eastAsia="Times New Roman"/>
                <w:sz w:val="20"/>
                <w:szCs w:val="20"/>
              </w:rPr>
              <w:t>5</w:t>
            </w:r>
            <w:r w:rsidRPr="00395723">
              <w:rPr>
                <w:rFonts w:eastAsia="Times New Roman"/>
                <w:sz w:val="20"/>
                <w:szCs w:val="20"/>
              </w:rPr>
              <w:t>00</w:t>
            </w:r>
            <w:r w:rsidR="00464CB1">
              <w:rPr>
                <w:rFonts w:eastAsia="Times New Roman"/>
                <w:sz w:val="20"/>
                <w:szCs w:val="20"/>
              </w:rPr>
              <w:t>0</w:t>
            </w:r>
            <w:r w:rsidR="00931E7A">
              <w:rPr>
                <w:rFonts w:eastAsia="Times New Roman"/>
                <w:sz w:val="20"/>
                <w:szCs w:val="20"/>
              </w:rPr>
              <w:t xml:space="preserve"> jedincov</w:t>
            </w:r>
          </w:p>
        </w:tc>
      </w:tr>
      <w:tr w:rsidR="008A4449" w:rsidRPr="00395723" w14:paraId="61DA6E2B"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0FEC803"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94C0748"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4C06072" w14:textId="7EC060DD" w:rsidR="008A4449" w:rsidRPr="00395723" w:rsidRDefault="008A4449" w:rsidP="006755D9">
            <w:pPr>
              <w:spacing w:line="240" w:lineRule="auto"/>
              <w:jc w:val="center"/>
              <w:rPr>
                <w:rFonts w:eastAsia="Times New Roman"/>
                <w:sz w:val="20"/>
                <w:szCs w:val="20"/>
              </w:rPr>
            </w:pPr>
            <w:r w:rsidRPr="00395723">
              <w:rPr>
                <w:color w:val="000000"/>
                <w:sz w:val="20"/>
                <w:szCs w:val="20"/>
              </w:rPr>
              <w:t xml:space="preserve">Min. </w:t>
            </w:r>
            <w:r w:rsidR="006755D9">
              <w:rPr>
                <w:color w:val="000000"/>
                <w:sz w:val="20"/>
                <w:szCs w:val="20"/>
              </w:rPr>
              <w:t>80 ha</w:t>
            </w:r>
          </w:p>
        </w:tc>
        <w:tc>
          <w:tcPr>
            <w:tcW w:w="3670" w:type="dxa"/>
            <w:tcBorders>
              <w:top w:val="nil"/>
              <w:left w:val="nil"/>
              <w:bottom w:val="single" w:sz="4" w:space="0" w:color="auto"/>
              <w:right w:val="single" w:sz="4" w:space="0" w:color="auto"/>
            </w:tcBorders>
            <w:shd w:val="clear" w:color="auto" w:fill="auto"/>
            <w:noWrap/>
            <w:vAlign w:val="center"/>
            <w:hideMark/>
          </w:tcPr>
          <w:p w14:paraId="1340E908"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3C3895DF"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A4449" w:rsidRPr="00395723" w14:paraId="4FDE3A63"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C13F84"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7AE60E6"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C84F5D"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A998DB5" w14:textId="77777777" w:rsidR="008A4449" w:rsidRPr="00395723" w:rsidRDefault="008A4449"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65E9DAE3" w14:textId="77777777" w:rsidR="008A4449" w:rsidRDefault="008A4449" w:rsidP="008A4449">
      <w:pPr>
        <w:rPr>
          <w:color w:val="000000"/>
        </w:rPr>
      </w:pPr>
    </w:p>
    <w:p w14:paraId="39238512" w14:textId="77777777" w:rsidR="00293851" w:rsidRPr="00E76BD8" w:rsidRDefault="00293851" w:rsidP="00293851">
      <w:r w:rsidRPr="00E76BD8">
        <w:rPr>
          <w:color w:val="000000"/>
        </w:rPr>
        <w:t xml:space="preserve">Zlepšenie stavu </w:t>
      </w:r>
      <w:r w:rsidRPr="00E76BD8">
        <w:rPr>
          <w:b/>
          <w:color w:val="000000"/>
        </w:rPr>
        <w:t xml:space="preserve">druhu </w:t>
      </w:r>
      <w:r w:rsidRPr="00E76BD8">
        <w:rPr>
          <w:rFonts w:eastAsia="Times New Roman"/>
          <w:b/>
          <w:i/>
          <w:color w:val="000000"/>
        </w:rPr>
        <w:t xml:space="preserve">Lucanus cervus </w:t>
      </w:r>
      <w:r w:rsidRPr="00E76BD8">
        <w:rPr>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293851" w:rsidRPr="00E76BD8" w14:paraId="20AA358C"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CBD9"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FD022D"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49309E"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FDB070C"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Doplnkové informácie</w:t>
            </w:r>
          </w:p>
        </w:tc>
      </w:tr>
      <w:tr w:rsidR="00293851" w:rsidRPr="00E76BD8" w14:paraId="61E21DCB"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FBB3"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C8D293"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43355C"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D62C9BC"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 xml:space="preserve">Udržiavaná veľkosť populácie, odhaduje sa na 500 – 2000 jedincov </w:t>
            </w:r>
          </w:p>
        </w:tc>
      </w:tr>
      <w:tr w:rsidR="00293851" w:rsidRPr="00E76BD8" w14:paraId="5C0F0C1C"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CF2F"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3222121"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5DCDC5" w14:textId="5A53C0F9" w:rsidR="00293851" w:rsidRPr="00E76BD8" w:rsidRDefault="006755D9" w:rsidP="002A4AEE">
            <w:pPr>
              <w:spacing w:line="240" w:lineRule="auto"/>
              <w:rPr>
                <w:rFonts w:eastAsia="Times New Roman"/>
                <w:color w:val="000000"/>
                <w:sz w:val="20"/>
                <w:szCs w:val="20"/>
              </w:rPr>
            </w:pPr>
            <w:r>
              <w:rPr>
                <w:rFonts w:eastAsia="Times New Roman"/>
                <w:color w:val="000000"/>
                <w:sz w:val="20"/>
                <w:szCs w:val="20"/>
              </w:rPr>
              <w:t>25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CABF627"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 xml:space="preserve">Staršie lesy poloprírodného až pralesovitého charakteru. </w:t>
            </w:r>
          </w:p>
        </w:tc>
      </w:tr>
      <w:tr w:rsidR="00931E7A" w:rsidRPr="00E76BD8" w14:paraId="55A5A7B8" w14:textId="77777777" w:rsidTr="00E00CC9">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7520" w14:textId="77777777" w:rsidR="00931E7A" w:rsidRPr="00E76BD8" w:rsidRDefault="00931E7A" w:rsidP="00931E7A">
            <w:pPr>
              <w:spacing w:line="240" w:lineRule="auto"/>
              <w:rPr>
                <w:rFonts w:eastAsia="Times New Roman"/>
                <w:color w:val="000000"/>
                <w:sz w:val="20"/>
                <w:szCs w:val="20"/>
              </w:rPr>
            </w:pPr>
            <w:r w:rsidRPr="00E76BD8">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AA1621" w14:textId="53F97F3B" w:rsidR="00931E7A" w:rsidRPr="00E76BD8" w:rsidRDefault="00931E7A" w:rsidP="00931E7A">
            <w:pPr>
              <w:spacing w:line="240" w:lineRule="auto"/>
              <w:rPr>
                <w:rFonts w:eastAsia="Times New Roman"/>
                <w:color w:val="000000"/>
                <w:sz w:val="20"/>
                <w:szCs w:val="20"/>
              </w:rPr>
            </w:pPr>
            <w:r w:rsidRPr="001C1959">
              <w:rPr>
                <w:rFonts w:eastAsia="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1FD119" w14:textId="1058CB67" w:rsidR="00931E7A" w:rsidRPr="00E76BD8" w:rsidRDefault="00931E7A" w:rsidP="00931E7A">
            <w:pPr>
              <w:spacing w:line="240" w:lineRule="auto"/>
              <w:rPr>
                <w:rFonts w:eastAsia="Times New Roman"/>
                <w:color w:val="000000"/>
                <w:sz w:val="20"/>
                <w:szCs w:val="20"/>
              </w:rPr>
            </w:pPr>
            <w:r w:rsidRPr="001C1959">
              <w:rPr>
                <w:rFonts w:eastAsia="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30A56F25" w14:textId="7A183F37" w:rsidR="00931E7A" w:rsidRPr="00E76BD8" w:rsidRDefault="00931E7A" w:rsidP="00931E7A">
            <w:pPr>
              <w:spacing w:line="240" w:lineRule="auto"/>
              <w:rPr>
                <w:rFonts w:eastAsia="Times New Roman"/>
                <w:color w:val="000000"/>
                <w:sz w:val="20"/>
                <w:szCs w:val="20"/>
              </w:rPr>
            </w:pPr>
            <w:r w:rsidRPr="001C1959">
              <w:rPr>
                <w:rFonts w:eastAsia="Times New Roman"/>
                <w:sz w:val="20"/>
                <w:szCs w:val="20"/>
              </w:rPr>
              <w:t>Dosiahnuť považovaný počet starších stromov na ha.</w:t>
            </w:r>
          </w:p>
        </w:tc>
      </w:tr>
    </w:tbl>
    <w:p w14:paraId="0FA102A5" w14:textId="27EBA056" w:rsidR="00B16F23" w:rsidRDefault="00B16F23" w:rsidP="000E05DA">
      <w:pPr>
        <w:pStyle w:val="Zkladntext"/>
        <w:widowControl w:val="0"/>
        <w:ind w:left="360"/>
        <w:jc w:val="both"/>
        <w:rPr>
          <w:lang w:val="sk-SK"/>
        </w:rPr>
      </w:pPr>
    </w:p>
    <w:p w14:paraId="6F11A8E8" w14:textId="77777777" w:rsidR="00293851" w:rsidRPr="001C1959" w:rsidRDefault="00293851" w:rsidP="00293851">
      <w:pPr>
        <w:spacing w:line="240" w:lineRule="auto"/>
        <w:jc w:val="both"/>
        <w:rPr>
          <w:rFonts w:eastAsia="Times New Roman"/>
          <w:i/>
          <w:color w:val="000000"/>
        </w:rPr>
      </w:pPr>
      <w:r w:rsidRPr="001C1959">
        <w:t xml:space="preserve">Zlepšenie stavu druhu </w:t>
      </w:r>
      <w:r w:rsidRPr="001C1959">
        <w:rPr>
          <w:rFonts w:eastAsia="Times New Roman"/>
          <w:b/>
          <w:i/>
          <w:color w:val="000000"/>
        </w:rPr>
        <w:t>Cerambyx cerdo</w:t>
      </w:r>
      <w:r w:rsidRPr="001C1959">
        <w:rPr>
          <w:rFonts w:eastAsia="Times New Roman"/>
          <w:i/>
          <w:color w:val="000000"/>
        </w:rPr>
        <w:t xml:space="preserve"> </w:t>
      </w:r>
      <w:r w:rsidRPr="001C1959">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1768"/>
        <w:gridCol w:w="2217"/>
        <w:gridCol w:w="1327"/>
        <w:gridCol w:w="4044"/>
      </w:tblGrid>
      <w:tr w:rsidR="00293851" w:rsidRPr="001C1959" w14:paraId="3B6D4F00" w14:textId="77777777" w:rsidTr="00931E7A">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9C1B2" w14:textId="77777777" w:rsidR="00293851" w:rsidRPr="00931E7A" w:rsidRDefault="00293851" w:rsidP="002A4AEE">
            <w:pPr>
              <w:spacing w:line="240" w:lineRule="auto"/>
              <w:jc w:val="center"/>
              <w:rPr>
                <w:rFonts w:eastAsia="Times New Roman"/>
                <w:b/>
                <w:sz w:val="20"/>
                <w:szCs w:val="20"/>
              </w:rPr>
            </w:pPr>
            <w:r w:rsidRPr="00931E7A">
              <w:rPr>
                <w:rFonts w:eastAsia="Times New Roman"/>
                <w:b/>
                <w:sz w:val="20"/>
                <w:szCs w:val="20"/>
              </w:rPr>
              <w:t>Parameter</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26D8956B" w14:textId="77777777" w:rsidR="00293851" w:rsidRPr="00931E7A" w:rsidRDefault="00293851" w:rsidP="002A4AEE">
            <w:pPr>
              <w:spacing w:line="240" w:lineRule="auto"/>
              <w:jc w:val="center"/>
              <w:rPr>
                <w:rFonts w:eastAsia="Times New Roman"/>
                <w:b/>
                <w:sz w:val="20"/>
                <w:szCs w:val="20"/>
              </w:rPr>
            </w:pPr>
            <w:r w:rsidRPr="00931E7A">
              <w:rPr>
                <w:rFonts w:eastAsia="Times New Roman"/>
                <w:b/>
                <w:sz w:val="20"/>
                <w:szCs w:val="20"/>
              </w:rPr>
              <w:t>Merateľnosť</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5DE8F5D9" w14:textId="77777777" w:rsidR="00293851" w:rsidRPr="00931E7A" w:rsidRDefault="00293851" w:rsidP="002A4AEE">
            <w:pPr>
              <w:spacing w:line="240" w:lineRule="auto"/>
              <w:jc w:val="center"/>
              <w:rPr>
                <w:rFonts w:eastAsia="Times New Roman"/>
                <w:b/>
                <w:sz w:val="20"/>
                <w:szCs w:val="20"/>
              </w:rPr>
            </w:pPr>
            <w:r w:rsidRPr="00931E7A">
              <w:rPr>
                <w:rFonts w:eastAsia="Times New Roman"/>
                <w:b/>
                <w:sz w:val="20"/>
                <w:szCs w:val="20"/>
              </w:rPr>
              <w:t>Cieľová hodnota</w:t>
            </w:r>
          </w:p>
        </w:tc>
        <w:tc>
          <w:tcPr>
            <w:tcW w:w="4044" w:type="dxa"/>
            <w:tcBorders>
              <w:top w:val="single" w:sz="4" w:space="0" w:color="auto"/>
              <w:left w:val="nil"/>
              <w:bottom w:val="single" w:sz="4" w:space="0" w:color="auto"/>
              <w:right w:val="single" w:sz="4" w:space="0" w:color="auto"/>
            </w:tcBorders>
            <w:shd w:val="clear" w:color="auto" w:fill="auto"/>
            <w:noWrap/>
            <w:vAlign w:val="center"/>
          </w:tcPr>
          <w:p w14:paraId="4D2C66B7" w14:textId="77777777" w:rsidR="00293851" w:rsidRPr="00931E7A" w:rsidRDefault="00293851" w:rsidP="002A4AEE">
            <w:pPr>
              <w:spacing w:line="240" w:lineRule="auto"/>
              <w:jc w:val="center"/>
              <w:rPr>
                <w:rFonts w:eastAsia="Times New Roman"/>
                <w:b/>
                <w:sz w:val="20"/>
                <w:szCs w:val="20"/>
              </w:rPr>
            </w:pPr>
            <w:r w:rsidRPr="00931E7A">
              <w:rPr>
                <w:rFonts w:eastAsia="Times New Roman"/>
                <w:b/>
                <w:sz w:val="20"/>
                <w:szCs w:val="20"/>
              </w:rPr>
              <w:t>Doplnkové informácie</w:t>
            </w:r>
          </w:p>
        </w:tc>
      </w:tr>
      <w:tr w:rsidR="00293851" w:rsidRPr="001C1959" w14:paraId="156B8258" w14:textId="77777777" w:rsidTr="00931E7A">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C88A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veľkosť populácie</w:t>
            </w:r>
          </w:p>
        </w:tc>
        <w:tc>
          <w:tcPr>
            <w:tcW w:w="2217" w:type="dxa"/>
            <w:tcBorders>
              <w:top w:val="single" w:sz="4" w:space="0" w:color="auto"/>
              <w:left w:val="nil"/>
              <w:bottom w:val="single" w:sz="4" w:space="0" w:color="auto"/>
              <w:right w:val="single" w:sz="4" w:space="0" w:color="auto"/>
            </w:tcBorders>
            <w:shd w:val="clear" w:color="auto" w:fill="auto"/>
            <w:noWrap/>
            <w:vAlign w:val="center"/>
            <w:hideMark/>
          </w:tcPr>
          <w:p w14:paraId="2392ED06"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Druhom obsadené stromy – počet stromov/ha</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569BB2F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min. 1 strom/ha</w:t>
            </w:r>
          </w:p>
        </w:tc>
        <w:tc>
          <w:tcPr>
            <w:tcW w:w="4044" w:type="dxa"/>
            <w:tcBorders>
              <w:top w:val="single" w:sz="4" w:space="0" w:color="auto"/>
              <w:left w:val="nil"/>
              <w:bottom w:val="single" w:sz="4" w:space="0" w:color="auto"/>
              <w:right w:val="single" w:sz="4" w:space="0" w:color="auto"/>
            </w:tcBorders>
            <w:shd w:val="clear" w:color="auto" w:fill="auto"/>
            <w:noWrap/>
            <w:vAlign w:val="center"/>
            <w:hideMark/>
          </w:tcPr>
          <w:p w14:paraId="2E2D2830" w14:textId="73EDCDCF" w:rsidR="00293851" w:rsidRPr="001C1959" w:rsidRDefault="00293851" w:rsidP="00293851">
            <w:pPr>
              <w:spacing w:line="240" w:lineRule="auto"/>
              <w:jc w:val="center"/>
              <w:rPr>
                <w:rFonts w:eastAsia="Times New Roman"/>
                <w:sz w:val="20"/>
                <w:szCs w:val="20"/>
              </w:rPr>
            </w:pPr>
            <w:r w:rsidRPr="001C1959">
              <w:rPr>
                <w:rFonts w:eastAsia="Times New Roman"/>
                <w:sz w:val="20"/>
                <w:szCs w:val="20"/>
              </w:rPr>
              <w:t xml:space="preserve">Udržiavaná veľkosť populácie, v súčasnosti odhadovaná na  veľkosť populácie </w:t>
            </w:r>
            <w:r>
              <w:rPr>
                <w:rFonts w:eastAsia="Times New Roman"/>
                <w:color w:val="000000"/>
                <w:sz w:val="20"/>
                <w:szCs w:val="20"/>
              </w:rPr>
              <w:t>1</w:t>
            </w:r>
            <w:r w:rsidR="009C2B5F">
              <w:rPr>
                <w:rFonts w:eastAsia="Times New Roman"/>
                <w:color w:val="000000"/>
                <w:sz w:val="20"/>
                <w:szCs w:val="20"/>
              </w:rPr>
              <w:t>00 – 5</w:t>
            </w:r>
            <w:r w:rsidRPr="001C1959">
              <w:rPr>
                <w:rFonts w:eastAsia="Times New Roman"/>
                <w:color w:val="000000"/>
                <w:sz w:val="20"/>
                <w:szCs w:val="20"/>
              </w:rPr>
              <w:t xml:space="preserve">00 </w:t>
            </w:r>
            <w:r w:rsidR="00931E7A">
              <w:rPr>
                <w:rFonts w:eastAsia="Times New Roman"/>
                <w:sz w:val="20"/>
                <w:szCs w:val="20"/>
              </w:rPr>
              <w:t xml:space="preserve"> jedincov</w:t>
            </w:r>
          </w:p>
        </w:tc>
      </w:tr>
      <w:tr w:rsidR="00293851" w:rsidRPr="001C1959" w14:paraId="771C4B0D" w14:textId="77777777" w:rsidTr="00931E7A">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587439B1"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rozloha biotopu výskytu</w:t>
            </w:r>
          </w:p>
        </w:tc>
        <w:tc>
          <w:tcPr>
            <w:tcW w:w="2217" w:type="dxa"/>
            <w:tcBorders>
              <w:top w:val="nil"/>
              <w:left w:val="nil"/>
              <w:bottom w:val="single" w:sz="4" w:space="0" w:color="auto"/>
              <w:right w:val="single" w:sz="4" w:space="0" w:color="auto"/>
            </w:tcBorders>
            <w:shd w:val="clear" w:color="auto" w:fill="auto"/>
            <w:noWrap/>
            <w:vAlign w:val="center"/>
            <w:hideMark/>
          </w:tcPr>
          <w:p w14:paraId="7DD61F5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ha</w:t>
            </w:r>
          </w:p>
        </w:tc>
        <w:tc>
          <w:tcPr>
            <w:tcW w:w="1327" w:type="dxa"/>
            <w:tcBorders>
              <w:top w:val="nil"/>
              <w:left w:val="nil"/>
              <w:bottom w:val="single" w:sz="4" w:space="0" w:color="auto"/>
              <w:right w:val="single" w:sz="4" w:space="0" w:color="auto"/>
            </w:tcBorders>
            <w:shd w:val="clear" w:color="auto" w:fill="auto"/>
            <w:noWrap/>
            <w:vAlign w:val="center"/>
            <w:hideMark/>
          </w:tcPr>
          <w:p w14:paraId="1A7CC62A" w14:textId="68D2EDF0" w:rsidR="00293851" w:rsidRPr="001C1959" w:rsidRDefault="00293851" w:rsidP="006755D9">
            <w:pPr>
              <w:spacing w:line="240" w:lineRule="auto"/>
              <w:jc w:val="center"/>
              <w:rPr>
                <w:rFonts w:eastAsia="Times New Roman"/>
                <w:sz w:val="20"/>
                <w:szCs w:val="20"/>
              </w:rPr>
            </w:pPr>
            <w:r w:rsidRPr="001C1959">
              <w:rPr>
                <w:color w:val="000000"/>
                <w:sz w:val="20"/>
                <w:szCs w:val="20"/>
              </w:rPr>
              <w:t>Min.</w:t>
            </w:r>
            <w:r w:rsidR="006755D9">
              <w:rPr>
                <w:color w:val="000000"/>
                <w:sz w:val="20"/>
                <w:szCs w:val="20"/>
              </w:rPr>
              <w:t xml:space="preserve"> 20 ha</w:t>
            </w:r>
          </w:p>
        </w:tc>
        <w:tc>
          <w:tcPr>
            <w:tcW w:w="4044" w:type="dxa"/>
            <w:tcBorders>
              <w:top w:val="nil"/>
              <w:left w:val="nil"/>
              <w:bottom w:val="single" w:sz="4" w:space="0" w:color="auto"/>
              <w:right w:val="single" w:sz="4" w:space="0" w:color="auto"/>
            </w:tcBorders>
            <w:shd w:val="clear" w:color="auto" w:fill="auto"/>
            <w:noWrap/>
            <w:vAlign w:val="center"/>
            <w:hideMark/>
          </w:tcPr>
          <w:p w14:paraId="3FCAFB6B" w14:textId="77777777" w:rsidR="00293851" w:rsidRPr="001C1959" w:rsidRDefault="00293851" w:rsidP="002A4AEE">
            <w:pPr>
              <w:spacing w:line="240" w:lineRule="auto"/>
              <w:jc w:val="both"/>
              <w:rPr>
                <w:rFonts w:eastAsia="Times New Roman"/>
                <w:sz w:val="20"/>
                <w:szCs w:val="20"/>
              </w:rPr>
            </w:pPr>
            <w:r w:rsidRPr="001C1959">
              <w:rPr>
                <w:rFonts w:eastAsia="Times New Roman"/>
                <w:sz w:val="20"/>
                <w:szCs w:val="20"/>
              </w:rPr>
              <w:t>Vyžaduje staršie lesy poloprírodného až pralesovitého charakteru. Vyskytuje sa pod kôrou takmer všetkých našich pôvodných druhov drevín.</w:t>
            </w:r>
          </w:p>
          <w:p w14:paraId="691C209E" w14:textId="77777777" w:rsidR="00293851" w:rsidRPr="001C1959" w:rsidRDefault="00293851" w:rsidP="002A4AEE">
            <w:pPr>
              <w:spacing w:line="240" w:lineRule="auto"/>
              <w:jc w:val="both"/>
              <w:rPr>
                <w:rFonts w:eastAsia="Times New Roman"/>
                <w:sz w:val="20"/>
                <w:szCs w:val="20"/>
              </w:rPr>
            </w:pPr>
            <w:r w:rsidRPr="001C1959">
              <w:rPr>
                <w:rFonts w:eastAsia="Times New Roman"/>
                <w:sz w:val="20"/>
                <w:szCs w:val="20"/>
              </w:rPr>
              <w:t>Potrebné dosiahnuť zastúpenie starších porastov na väčšine územia.</w:t>
            </w:r>
          </w:p>
        </w:tc>
      </w:tr>
      <w:tr w:rsidR="00293851" w:rsidRPr="001C1959" w14:paraId="26A418C0" w14:textId="77777777" w:rsidTr="00931E7A">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1378230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Kvalita biotopu</w:t>
            </w:r>
          </w:p>
        </w:tc>
        <w:tc>
          <w:tcPr>
            <w:tcW w:w="2217" w:type="dxa"/>
            <w:tcBorders>
              <w:top w:val="nil"/>
              <w:left w:val="nil"/>
              <w:bottom w:val="single" w:sz="4" w:space="0" w:color="auto"/>
              <w:right w:val="single" w:sz="4" w:space="0" w:color="auto"/>
            </w:tcBorders>
            <w:shd w:val="clear" w:color="auto" w:fill="auto"/>
            <w:noWrap/>
            <w:vAlign w:val="center"/>
            <w:hideMark/>
          </w:tcPr>
          <w:p w14:paraId="02E41C82"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Počet ponechaných starších jedincov drevín nad 80 rokov/ha</w:t>
            </w:r>
          </w:p>
        </w:tc>
        <w:tc>
          <w:tcPr>
            <w:tcW w:w="1327" w:type="dxa"/>
            <w:tcBorders>
              <w:top w:val="nil"/>
              <w:left w:val="nil"/>
              <w:bottom w:val="single" w:sz="4" w:space="0" w:color="auto"/>
              <w:right w:val="single" w:sz="4" w:space="0" w:color="auto"/>
            </w:tcBorders>
            <w:shd w:val="clear" w:color="auto" w:fill="auto"/>
            <w:noWrap/>
            <w:vAlign w:val="center"/>
            <w:hideMark/>
          </w:tcPr>
          <w:p w14:paraId="042668B8"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min. 20 stromov/ha</w:t>
            </w:r>
          </w:p>
        </w:tc>
        <w:tc>
          <w:tcPr>
            <w:tcW w:w="4044" w:type="dxa"/>
            <w:tcBorders>
              <w:top w:val="nil"/>
              <w:left w:val="nil"/>
              <w:bottom w:val="single" w:sz="4" w:space="0" w:color="auto"/>
              <w:right w:val="single" w:sz="4" w:space="0" w:color="auto"/>
            </w:tcBorders>
            <w:shd w:val="clear" w:color="auto" w:fill="auto"/>
            <w:vAlign w:val="bottom"/>
            <w:hideMark/>
          </w:tcPr>
          <w:p w14:paraId="508C04E1" w14:textId="77777777" w:rsidR="00293851" w:rsidRPr="001C1959" w:rsidRDefault="00293851" w:rsidP="002A4AEE">
            <w:pPr>
              <w:spacing w:line="240" w:lineRule="auto"/>
              <w:rPr>
                <w:rFonts w:eastAsia="Times New Roman"/>
                <w:sz w:val="20"/>
                <w:szCs w:val="20"/>
              </w:rPr>
            </w:pPr>
            <w:r w:rsidRPr="001C1959">
              <w:rPr>
                <w:rFonts w:eastAsia="Times New Roman"/>
                <w:sz w:val="20"/>
                <w:szCs w:val="20"/>
              </w:rPr>
              <w:t>Dosiahnuť považovaný počet starších stromov na ha.</w:t>
            </w:r>
          </w:p>
        </w:tc>
      </w:tr>
    </w:tbl>
    <w:p w14:paraId="1572C58F" w14:textId="6216FCB2" w:rsidR="00293851" w:rsidRDefault="00293851" w:rsidP="000E05DA">
      <w:pPr>
        <w:pStyle w:val="Zkladntext"/>
        <w:widowControl w:val="0"/>
        <w:ind w:left="360"/>
        <w:jc w:val="both"/>
        <w:rPr>
          <w:lang w:val="sk-SK"/>
        </w:rPr>
      </w:pPr>
    </w:p>
    <w:p w14:paraId="58661A4A" w14:textId="2FF0787C" w:rsidR="00980A1D" w:rsidRPr="004451E9" w:rsidRDefault="00980A1D" w:rsidP="00980A1D">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sidRPr="009B7A4C">
        <w:rPr>
          <w:rFonts w:eastAsia="Times New Roman"/>
          <w:b/>
          <w:i/>
          <w:color w:val="000000"/>
          <w:szCs w:val="24"/>
        </w:rPr>
        <w:t>Bombina</w:t>
      </w:r>
      <w:r>
        <w:rPr>
          <w:rFonts w:eastAsia="Times New Roman"/>
          <w:b/>
          <w:i/>
          <w:color w:val="000000"/>
          <w:szCs w:val="24"/>
        </w:rPr>
        <w:t xml:space="preserve"> bombina </w:t>
      </w:r>
      <w:r w:rsidRPr="009B7A4C">
        <w:rPr>
          <w:color w:val="000000"/>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340"/>
        <w:gridCol w:w="1254"/>
        <w:gridCol w:w="1621"/>
        <w:gridCol w:w="5283"/>
      </w:tblGrid>
      <w:tr w:rsidR="00980A1D" w:rsidRPr="0000010E" w14:paraId="7294C168" w14:textId="77777777" w:rsidTr="00931E7A">
        <w:trPr>
          <w:trHeight w:val="41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B765A"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32C842FF"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7BF047B"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61BC658"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Doplnkové informácie</w:t>
            </w:r>
          </w:p>
        </w:tc>
      </w:tr>
      <w:tr w:rsidR="00980A1D" w:rsidRPr="0000010E" w14:paraId="02F76550" w14:textId="77777777" w:rsidTr="00931E7A">
        <w:trPr>
          <w:trHeight w:val="81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AFC3"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V</w:t>
            </w:r>
            <w:r w:rsidRPr="00EF3712">
              <w:rPr>
                <w:rFonts w:eastAsia="Times New Roman"/>
                <w:color w:val="000000"/>
                <w:sz w:val="20"/>
                <w:szCs w:val="20"/>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7A7FA4C7" w14:textId="77777777" w:rsidR="00980A1D" w:rsidRPr="00EF3712" w:rsidRDefault="00980A1D" w:rsidP="002A4AEE">
            <w:pPr>
              <w:spacing w:line="240" w:lineRule="auto"/>
              <w:rPr>
                <w:rFonts w:eastAsia="Times New Roman"/>
                <w:color w:val="000000"/>
                <w:sz w:val="20"/>
                <w:szCs w:val="20"/>
              </w:rPr>
            </w:pPr>
            <w:r w:rsidRPr="00EF3712">
              <w:rPr>
                <w:rFonts w:eastAsia="Times New Roman"/>
                <w:color w:val="000000"/>
                <w:sz w:val="20"/>
                <w:szCs w:val="20"/>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DE15770" w14:textId="5697527C"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Viac ako 100</w:t>
            </w:r>
            <w:r w:rsidRPr="00EF3712">
              <w:rPr>
                <w:rFonts w:eastAsia="Times New Roman"/>
                <w:color w:val="000000"/>
                <w:sz w:val="20"/>
                <w:szCs w:val="20"/>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8E421F5" w14:textId="1CE8057C" w:rsidR="00980A1D" w:rsidRPr="00EF3712" w:rsidRDefault="00980A1D" w:rsidP="002A4AEE">
            <w:pPr>
              <w:spacing w:line="240" w:lineRule="auto"/>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od 10 do 10</w:t>
            </w:r>
            <w:r w:rsidRPr="00EF3712">
              <w:rPr>
                <w:rFonts w:eastAsia="Times New Roman"/>
                <w:color w:val="000000"/>
                <w:sz w:val="20"/>
                <w:szCs w:val="20"/>
              </w:rPr>
              <w:t>0</w:t>
            </w:r>
            <w:r>
              <w:rPr>
                <w:rFonts w:eastAsia="Times New Roman"/>
                <w:color w:val="000000"/>
                <w:sz w:val="20"/>
                <w:szCs w:val="20"/>
              </w:rPr>
              <w:t xml:space="preserve"> </w:t>
            </w:r>
            <w:r w:rsidRPr="00EF3712">
              <w:rPr>
                <w:rFonts w:eastAsia="Times New Roman"/>
                <w:color w:val="000000"/>
                <w:sz w:val="20"/>
                <w:szCs w:val="20"/>
              </w:rPr>
              <w:t>jedincov (údaj</w:t>
            </w:r>
            <w:r>
              <w:rPr>
                <w:rFonts w:eastAsia="Times New Roman"/>
                <w:color w:val="000000"/>
                <w:sz w:val="20"/>
                <w:szCs w:val="20"/>
              </w:rPr>
              <w:t xml:space="preserve"> </w:t>
            </w:r>
            <w:r w:rsidRPr="00EF3712">
              <w:rPr>
                <w:rFonts w:eastAsia="Times New Roman"/>
                <w:color w:val="000000"/>
                <w:sz w:val="20"/>
                <w:szCs w:val="20"/>
              </w:rPr>
              <w:t>z SDF), bude potrebný komplexnejší monitoring populácie druhu.</w:t>
            </w:r>
          </w:p>
        </w:tc>
      </w:tr>
      <w:tr w:rsidR="00980A1D" w:rsidRPr="0000010E" w14:paraId="67E03DC3" w14:textId="77777777" w:rsidTr="00931E7A">
        <w:trPr>
          <w:trHeight w:val="930"/>
        </w:trPr>
        <w:tc>
          <w:tcPr>
            <w:tcW w:w="1215" w:type="dxa"/>
            <w:tcBorders>
              <w:top w:val="nil"/>
              <w:left w:val="single" w:sz="4" w:space="0" w:color="auto"/>
              <w:bottom w:val="single" w:sz="4" w:space="0" w:color="auto"/>
              <w:right w:val="single" w:sz="4" w:space="0" w:color="auto"/>
            </w:tcBorders>
            <w:shd w:val="clear" w:color="auto" w:fill="auto"/>
            <w:vAlign w:val="center"/>
          </w:tcPr>
          <w:p w14:paraId="67F64F1B"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6F459C9E"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počet</w:t>
            </w:r>
          </w:p>
        </w:tc>
        <w:tc>
          <w:tcPr>
            <w:tcW w:w="1642" w:type="dxa"/>
            <w:tcBorders>
              <w:top w:val="nil"/>
              <w:left w:val="nil"/>
              <w:bottom w:val="single" w:sz="4" w:space="0" w:color="auto"/>
              <w:right w:val="single" w:sz="4" w:space="0" w:color="auto"/>
            </w:tcBorders>
            <w:shd w:val="clear" w:color="auto" w:fill="auto"/>
            <w:vAlign w:val="center"/>
          </w:tcPr>
          <w:p w14:paraId="5C965A20" w14:textId="3672141C" w:rsidR="00980A1D" w:rsidRPr="009A5B90" w:rsidRDefault="00D41E0D" w:rsidP="002A4AEE">
            <w:pPr>
              <w:spacing w:line="240" w:lineRule="auto"/>
              <w:rPr>
                <w:rFonts w:eastAsia="Times New Roman"/>
                <w:color w:val="000000"/>
                <w:sz w:val="20"/>
                <w:szCs w:val="20"/>
              </w:rPr>
            </w:pPr>
            <w:r>
              <w:rPr>
                <w:color w:val="000000"/>
                <w:sz w:val="20"/>
                <w:szCs w:val="20"/>
              </w:rPr>
              <w:t>100 ha</w:t>
            </w:r>
          </w:p>
        </w:tc>
        <w:tc>
          <w:tcPr>
            <w:tcW w:w="5387" w:type="dxa"/>
            <w:tcBorders>
              <w:top w:val="nil"/>
              <w:left w:val="nil"/>
              <w:bottom w:val="single" w:sz="4" w:space="0" w:color="auto"/>
              <w:right w:val="single" w:sz="4" w:space="0" w:color="auto"/>
            </w:tcBorders>
            <w:shd w:val="clear" w:color="auto" w:fill="auto"/>
            <w:vAlign w:val="center"/>
          </w:tcPr>
          <w:p w14:paraId="0F0C59DD"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980A1D" w:rsidRPr="0000010E" w14:paraId="528347CF" w14:textId="77777777" w:rsidTr="00931E7A">
        <w:trPr>
          <w:trHeight w:val="930"/>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20AE50D0"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5A5EEF69"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071383A9"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12AEAF2F"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26E91F65" w14:textId="77777777" w:rsidR="00980A1D" w:rsidRDefault="00980A1D" w:rsidP="000E05DA">
      <w:pPr>
        <w:pStyle w:val="Zkladntext"/>
        <w:widowControl w:val="0"/>
        <w:ind w:left="360"/>
        <w:jc w:val="both"/>
        <w:rPr>
          <w:lang w:val="sk-SK"/>
        </w:rPr>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390"/>
      </w:tblGrid>
      <w:tr w:rsidR="00653E40" w:rsidRPr="00395723" w14:paraId="22B182DB" w14:textId="77777777" w:rsidTr="00931E7A">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390"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931E7A">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72F9119" w:rsidR="00653E40" w:rsidRPr="00395723" w:rsidRDefault="00B55FDA" w:rsidP="00B1033B">
            <w:pPr>
              <w:widowControl w:val="0"/>
              <w:spacing w:line="240" w:lineRule="auto"/>
              <w:jc w:val="both"/>
              <w:rPr>
                <w:sz w:val="18"/>
                <w:szCs w:val="18"/>
              </w:rPr>
            </w:pPr>
            <w:r>
              <w:rPr>
                <w:sz w:val="18"/>
                <w:szCs w:val="18"/>
              </w:rPr>
              <w:t>Min. 1</w:t>
            </w:r>
            <w:r w:rsidR="00653E40" w:rsidRPr="00395723">
              <w:rPr>
                <w:sz w:val="18"/>
                <w:szCs w:val="18"/>
              </w:rPr>
              <w:t>0</w:t>
            </w:r>
          </w:p>
        </w:tc>
        <w:tc>
          <w:tcPr>
            <w:tcW w:w="4390" w:type="dxa"/>
            <w:shd w:val="clear" w:color="auto" w:fill="auto"/>
            <w:tcMar>
              <w:top w:w="100" w:type="dxa"/>
              <w:left w:w="100" w:type="dxa"/>
              <w:bottom w:w="100" w:type="dxa"/>
              <w:right w:w="100" w:type="dxa"/>
            </w:tcMar>
          </w:tcPr>
          <w:p w14:paraId="409A42D5" w14:textId="37841F4D" w:rsidR="00653E40" w:rsidRPr="00395723" w:rsidRDefault="007464F7" w:rsidP="00D41E0D">
            <w:pPr>
              <w:widowControl w:val="0"/>
              <w:spacing w:line="240" w:lineRule="auto"/>
              <w:jc w:val="both"/>
              <w:rPr>
                <w:sz w:val="18"/>
                <w:szCs w:val="18"/>
              </w:rPr>
            </w:pPr>
            <w:r>
              <w:rPr>
                <w:sz w:val="18"/>
                <w:szCs w:val="18"/>
              </w:rPr>
              <w:t xml:space="preserve">Populácie je odhadovaná </w:t>
            </w:r>
            <w:r w:rsidR="00B55FDA">
              <w:rPr>
                <w:sz w:val="18"/>
                <w:szCs w:val="18"/>
              </w:rPr>
              <w:t>do 10</w:t>
            </w:r>
            <w:r w:rsidR="00653E40" w:rsidRPr="00395723">
              <w:rPr>
                <w:sz w:val="18"/>
                <w:szCs w:val="18"/>
              </w:rPr>
              <w:t xml:space="preserve"> jedincov – odhaduje sa výskyt </w:t>
            </w:r>
            <w:r w:rsidR="00D41E0D">
              <w:rPr>
                <w:sz w:val="18"/>
                <w:szCs w:val="18"/>
              </w:rPr>
              <w:t>2</w:t>
            </w:r>
            <w:r w:rsidR="00653E40" w:rsidRPr="00395723">
              <w:rPr>
                <w:sz w:val="18"/>
                <w:szCs w:val="18"/>
              </w:rPr>
              <w:t xml:space="preserve"> rodín v území.</w:t>
            </w:r>
          </w:p>
        </w:tc>
      </w:tr>
      <w:tr w:rsidR="00653E40" w:rsidRPr="00395723" w14:paraId="24B7F7E0" w14:textId="77777777" w:rsidTr="00931E7A">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54144E56" w:rsidR="00653E40" w:rsidRPr="00395723" w:rsidRDefault="00D41E0D" w:rsidP="00B1033B">
            <w:pPr>
              <w:widowControl w:val="0"/>
              <w:spacing w:line="240" w:lineRule="auto"/>
              <w:jc w:val="both"/>
              <w:rPr>
                <w:sz w:val="18"/>
                <w:szCs w:val="18"/>
              </w:rPr>
            </w:pPr>
            <w:r>
              <w:rPr>
                <w:sz w:val="18"/>
                <w:szCs w:val="18"/>
              </w:rPr>
              <w:t>100</w:t>
            </w:r>
          </w:p>
        </w:tc>
        <w:tc>
          <w:tcPr>
            <w:tcW w:w="4390"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931E7A">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390"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p w14:paraId="4163DA6E" w14:textId="416F449C"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6B6B37" w:rsidRPr="00870D1F" w14:paraId="5D5964AB" w14:textId="77777777" w:rsidTr="00931E7A">
        <w:trPr>
          <w:jc w:val="center"/>
        </w:trPr>
        <w:tc>
          <w:tcPr>
            <w:tcW w:w="1275" w:type="dxa"/>
            <w:tcMar>
              <w:top w:w="100" w:type="dxa"/>
              <w:left w:w="100" w:type="dxa"/>
              <w:bottom w:w="100" w:type="dxa"/>
              <w:right w:w="100" w:type="dxa"/>
            </w:tcMar>
          </w:tcPr>
          <w:p w14:paraId="087ACC7C"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Parameter</w:t>
            </w:r>
          </w:p>
        </w:tc>
        <w:tc>
          <w:tcPr>
            <w:tcW w:w="1395" w:type="dxa"/>
            <w:tcMar>
              <w:top w:w="100" w:type="dxa"/>
              <w:left w:w="100" w:type="dxa"/>
              <w:bottom w:w="100" w:type="dxa"/>
              <w:right w:w="100" w:type="dxa"/>
            </w:tcMar>
          </w:tcPr>
          <w:p w14:paraId="6A036B57"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Merateľnosť</w:t>
            </w:r>
          </w:p>
        </w:tc>
        <w:tc>
          <w:tcPr>
            <w:tcW w:w="1123" w:type="dxa"/>
            <w:tcMar>
              <w:top w:w="100" w:type="dxa"/>
              <w:left w:w="100" w:type="dxa"/>
              <w:bottom w:w="100" w:type="dxa"/>
              <w:right w:w="100" w:type="dxa"/>
            </w:tcMar>
          </w:tcPr>
          <w:p w14:paraId="2039CE96"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Cieľová hodnota</w:t>
            </w:r>
          </w:p>
        </w:tc>
        <w:tc>
          <w:tcPr>
            <w:tcW w:w="5269" w:type="dxa"/>
            <w:tcMar>
              <w:top w:w="100" w:type="dxa"/>
              <w:left w:w="100" w:type="dxa"/>
              <w:bottom w:w="100" w:type="dxa"/>
              <w:right w:w="100" w:type="dxa"/>
            </w:tcMar>
          </w:tcPr>
          <w:p w14:paraId="64B70C22"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931E7A">
        <w:trPr>
          <w:trHeight w:val="225"/>
          <w:jc w:val="center"/>
        </w:trPr>
        <w:tc>
          <w:tcPr>
            <w:tcW w:w="1275" w:type="dxa"/>
            <w:tcMar>
              <w:top w:w="100" w:type="dxa"/>
              <w:left w:w="100" w:type="dxa"/>
              <w:bottom w:w="100" w:type="dxa"/>
              <w:right w:w="100" w:type="dxa"/>
            </w:tcMar>
          </w:tcPr>
          <w:p w14:paraId="4977D8AD" w14:textId="77777777" w:rsidR="006B6B37" w:rsidRPr="00870D1F" w:rsidRDefault="006B6B37" w:rsidP="00E7509B">
            <w:pPr>
              <w:spacing w:line="240" w:lineRule="auto"/>
              <w:jc w:val="both"/>
              <w:rPr>
                <w:color w:val="000000"/>
                <w:sz w:val="18"/>
                <w:szCs w:val="18"/>
              </w:rPr>
            </w:pPr>
            <w:r w:rsidRPr="00870D1F">
              <w:rPr>
                <w:color w:val="000000"/>
                <w:sz w:val="18"/>
                <w:szCs w:val="18"/>
              </w:rPr>
              <w:t>Veľkosť populácie</w:t>
            </w:r>
          </w:p>
        </w:tc>
        <w:tc>
          <w:tcPr>
            <w:tcW w:w="1395" w:type="dxa"/>
            <w:tcMar>
              <w:top w:w="100" w:type="dxa"/>
              <w:left w:w="100" w:type="dxa"/>
              <w:bottom w:w="100" w:type="dxa"/>
              <w:right w:w="100" w:type="dxa"/>
            </w:tcMar>
          </w:tcPr>
          <w:p w14:paraId="15C0358C" w14:textId="77777777" w:rsidR="006B6B37" w:rsidRPr="00870D1F" w:rsidRDefault="006B6B37" w:rsidP="00E7509B">
            <w:pPr>
              <w:spacing w:line="240" w:lineRule="auto"/>
              <w:jc w:val="center"/>
              <w:rPr>
                <w:color w:val="000000"/>
                <w:sz w:val="18"/>
                <w:szCs w:val="18"/>
              </w:rPr>
            </w:pPr>
            <w:r w:rsidRPr="00870D1F">
              <w:rPr>
                <w:color w:val="000000"/>
                <w:sz w:val="18"/>
                <w:szCs w:val="18"/>
              </w:rPr>
              <w:t>Relatívna početnosť na 100m monitorovaného úseku CPUE*</w:t>
            </w:r>
          </w:p>
        </w:tc>
        <w:tc>
          <w:tcPr>
            <w:tcW w:w="1123" w:type="dxa"/>
            <w:tcMar>
              <w:top w:w="100" w:type="dxa"/>
              <w:left w:w="100" w:type="dxa"/>
              <w:bottom w:w="100" w:type="dxa"/>
              <w:right w:w="100" w:type="dxa"/>
            </w:tcMar>
          </w:tcPr>
          <w:p w14:paraId="09D30764" w14:textId="23F9B619" w:rsidR="006B6B37" w:rsidRPr="00870D1F" w:rsidRDefault="009C2B5F" w:rsidP="00E7509B">
            <w:pPr>
              <w:spacing w:line="240" w:lineRule="auto"/>
              <w:jc w:val="center"/>
              <w:rPr>
                <w:color w:val="000000"/>
                <w:sz w:val="18"/>
                <w:szCs w:val="18"/>
              </w:rPr>
            </w:pPr>
            <w:r>
              <w:rPr>
                <w:color w:val="000000"/>
                <w:sz w:val="18"/>
                <w:szCs w:val="18"/>
              </w:rPr>
              <w:t>Min. 2</w:t>
            </w:r>
          </w:p>
        </w:tc>
        <w:tc>
          <w:tcPr>
            <w:tcW w:w="5269" w:type="dxa"/>
            <w:tcMar>
              <w:top w:w="100" w:type="dxa"/>
              <w:left w:w="100" w:type="dxa"/>
              <w:bottom w:w="100" w:type="dxa"/>
              <w:right w:w="100" w:type="dxa"/>
            </w:tcMar>
          </w:tcPr>
          <w:p w14:paraId="7FCF3E66" w14:textId="72290542" w:rsidR="006B6B37" w:rsidRPr="00870D1F" w:rsidRDefault="006B6B37" w:rsidP="00E7509B">
            <w:pPr>
              <w:spacing w:line="240" w:lineRule="auto"/>
              <w:rPr>
                <w:color w:val="000000"/>
                <w:sz w:val="18"/>
                <w:szCs w:val="18"/>
                <w:highlight w:val="yellow"/>
              </w:rPr>
            </w:pPr>
            <w:r w:rsidRPr="00870D1F">
              <w:rPr>
                <w:color w:val="000000"/>
                <w:sz w:val="18"/>
                <w:szCs w:val="18"/>
              </w:rPr>
              <w:t xml:space="preserve">Podľa aktuálnych údajov druh dosahoval v území zastúpenie </w:t>
            </w:r>
            <w:r w:rsidR="00757867">
              <w:rPr>
                <w:color w:val="000000"/>
                <w:sz w:val="18"/>
                <w:szCs w:val="18"/>
              </w:rPr>
              <w:t xml:space="preserve"> 1</w:t>
            </w:r>
            <w:r w:rsidR="009C2B5F">
              <w:rPr>
                <w:color w:val="000000"/>
                <w:sz w:val="18"/>
                <w:szCs w:val="18"/>
              </w:rPr>
              <w:t>0</w:t>
            </w:r>
            <w:r w:rsidR="001413B3">
              <w:rPr>
                <w:color w:val="000000"/>
                <w:sz w:val="18"/>
                <w:szCs w:val="18"/>
              </w:rPr>
              <w:t>0 až 1</w:t>
            </w:r>
            <w:r w:rsidR="00757867">
              <w:rPr>
                <w:color w:val="000000"/>
                <w:sz w:val="18"/>
                <w:szCs w:val="18"/>
              </w:rPr>
              <w:t>0</w:t>
            </w:r>
            <w:r w:rsidR="009C2B5F">
              <w:rPr>
                <w:color w:val="000000"/>
                <w:sz w:val="18"/>
                <w:szCs w:val="18"/>
              </w:rPr>
              <w:t>0</w:t>
            </w:r>
            <w:r w:rsidR="00757867">
              <w:rPr>
                <w:color w:val="000000"/>
                <w:sz w:val="18"/>
                <w:szCs w:val="18"/>
              </w:rPr>
              <w:t>0</w:t>
            </w:r>
            <w:r>
              <w:rPr>
                <w:color w:val="000000"/>
                <w:sz w:val="18"/>
                <w:szCs w:val="18"/>
              </w:rPr>
              <w:t xml:space="preserve"> </w:t>
            </w:r>
            <w:r w:rsidRPr="00870D1F">
              <w:rPr>
                <w:color w:val="000000"/>
                <w:sz w:val="18"/>
                <w:szCs w:val="18"/>
              </w:rPr>
              <w:t xml:space="preserve">jedincov na monitorovaný úsek </w:t>
            </w:r>
          </w:p>
        </w:tc>
      </w:tr>
      <w:tr w:rsidR="006B6B37" w:rsidRPr="00870D1F" w14:paraId="5D05BC62" w14:textId="77777777" w:rsidTr="00931E7A">
        <w:trPr>
          <w:trHeight w:val="225"/>
          <w:jc w:val="center"/>
        </w:trPr>
        <w:tc>
          <w:tcPr>
            <w:tcW w:w="1275" w:type="dxa"/>
            <w:tcMar>
              <w:top w:w="100" w:type="dxa"/>
              <w:left w:w="100" w:type="dxa"/>
              <w:bottom w:w="100" w:type="dxa"/>
              <w:right w:w="100" w:type="dxa"/>
            </w:tcMar>
          </w:tcPr>
          <w:p w14:paraId="40D9A985" w14:textId="77777777" w:rsidR="006B6B37" w:rsidRPr="00870D1F" w:rsidRDefault="006B6B37" w:rsidP="00E7509B">
            <w:pPr>
              <w:spacing w:line="240" w:lineRule="auto"/>
              <w:rPr>
                <w:color w:val="000000"/>
                <w:sz w:val="18"/>
                <w:szCs w:val="18"/>
              </w:rPr>
            </w:pPr>
            <w:r w:rsidRPr="00870D1F">
              <w:rPr>
                <w:color w:val="000000"/>
                <w:sz w:val="18"/>
                <w:szCs w:val="18"/>
              </w:rPr>
              <w:t xml:space="preserve">Zastúpenie vhodných mezohabitatov </w:t>
            </w:r>
          </w:p>
        </w:tc>
        <w:tc>
          <w:tcPr>
            <w:tcW w:w="1395" w:type="dxa"/>
            <w:tcMar>
              <w:top w:w="100" w:type="dxa"/>
              <w:left w:w="100" w:type="dxa"/>
              <w:bottom w:w="100" w:type="dxa"/>
              <w:right w:w="100" w:type="dxa"/>
            </w:tcMar>
          </w:tcPr>
          <w:p w14:paraId="79491B18" w14:textId="77777777" w:rsidR="006B6B37" w:rsidRPr="00870D1F" w:rsidRDefault="006B6B37" w:rsidP="00E7509B">
            <w:pPr>
              <w:spacing w:line="240" w:lineRule="auto"/>
              <w:jc w:val="center"/>
              <w:rPr>
                <w:color w:val="000000"/>
                <w:sz w:val="18"/>
                <w:szCs w:val="18"/>
              </w:rPr>
            </w:pPr>
            <w:r w:rsidRPr="00870D1F">
              <w:rPr>
                <w:color w:val="000000"/>
                <w:sz w:val="18"/>
                <w:szCs w:val="18"/>
              </w:rPr>
              <w:t>% sezónne prepojených aluviálnych vodných útvarov</w:t>
            </w:r>
          </w:p>
        </w:tc>
        <w:tc>
          <w:tcPr>
            <w:tcW w:w="1123" w:type="dxa"/>
            <w:tcMar>
              <w:top w:w="100" w:type="dxa"/>
              <w:left w:w="100" w:type="dxa"/>
              <w:bottom w:w="100" w:type="dxa"/>
              <w:right w:w="100" w:type="dxa"/>
            </w:tcMar>
          </w:tcPr>
          <w:p w14:paraId="04A16860" w14:textId="77777777" w:rsidR="006B6B37" w:rsidRPr="00870D1F" w:rsidRDefault="006B6B37" w:rsidP="00E7509B">
            <w:pPr>
              <w:spacing w:line="240" w:lineRule="auto"/>
              <w:jc w:val="center"/>
              <w:rPr>
                <w:color w:val="000000"/>
                <w:sz w:val="18"/>
                <w:szCs w:val="18"/>
              </w:rPr>
            </w:pPr>
            <w:r w:rsidRPr="00870D1F">
              <w:rPr>
                <w:color w:val="000000"/>
                <w:sz w:val="18"/>
                <w:szCs w:val="18"/>
              </w:rPr>
              <w:t>30</w:t>
            </w:r>
          </w:p>
        </w:tc>
        <w:tc>
          <w:tcPr>
            <w:tcW w:w="5269" w:type="dxa"/>
            <w:tcMar>
              <w:top w:w="100" w:type="dxa"/>
              <w:left w:w="100" w:type="dxa"/>
              <w:bottom w:w="100" w:type="dxa"/>
              <w:right w:w="100" w:type="dxa"/>
            </w:tcMar>
          </w:tcPr>
          <w:p w14:paraId="3F2DD9B5" w14:textId="77777777" w:rsidR="006B6B37" w:rsidRPr="00870D1F" w:rsidRDefault="006B6B37" w:rsidP="00E7509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931E7A">
        <w:trPr>
          <w:trHeight w:val="397"/>
          <w:jc w:val="center"/>
        </w:trPr>
        <w:tc>
          <w:tcPr>
            <w:tcW w:w="1275" w:type="dxa"/>
            <w:tcMar>
              <w:top w:w="100" w:type="dxa"/>
              <w:left w:w="100" w:type="dxa"/>
              <w:bottom w:w="100" w:type="dxa"/>
              <w:right w:w="100" w:type="dxa"/>
            </w:tcMar>
          </w:tcPr>
          <w:p w14:paraId="4018EE51" w14:textId="77777777" w:rsidR="006B6B37" w:rsidRPr="00870D1F" w:rsidRDefault="006B6B37" w:rsidP="00E7509B">
            <w:pPr>
              <w:spacing w:line="240" w:lineRule="auto"/>
              <w:rPr>
                <w:color w:val="000000"/>
                <w:sz w:val="18"/>
                <w:szCs w:val="18"/>
              </w:rPr>
            </w:pPr>
            <w:r w:rsidRPr="00870D1F">
              <w:rPr>
                <w:color w:val="000000"/>
                <w:sz w:val="18"/>
                <w:szCs w:val="18"/>
              </w:rPr>
              <w:t>Dominancia nepôvodných a iváznych druhov rýb</w:t>
            </w:r>
          </w:p>
        </w:tc>
        <w:tc>
          <w:tcPr>
            <w:tcW w:w="1395" w:type="dxa"/>
            <w:tcMar>
              <w:top w:w="100" w:type="dxa"/>
              <w:left w:w="100" w:type="dxa"/>
              <w:bottom w:w="100" w:type="dxa"/>
              <w:right w:w="100" w:type="dxa"/>
            </w:tcMar>
          </w:tcPr>
          <w:p w14:paraId="177B76CA" w14:textId="77777777" w:rsidR="006B6B37" w:rsidRPr="00870D1F" w:rsidRDefault="006B6B37" w:rsidP="00E7509B">
            <w:pPr>
              <w:spacing w:line="240" w:lineRule="auto"/>
              <w:jc w:val="center"/>
              <w:rPr>
                <w:color w:val="000000"/>
                <w:sz w:val="18"/>
                <w:szCs w:val="18"/>
              </w:rPr>
            </w:pPr>
            <w:r w:rsidRPr="00870D1F">
              <w:rPr>
                <w:color w:val="000000"/>
                <w:sz w:val="18"/>
                <w:szCs w:val="18"/>
              </w:rPr>
              <w:t>%</w:t>
            </w:r>
          </w:p>
        </w:tc>
        <w:tc>
          <w:tcPr>
            <w:tcW w:w="1123" w:type="dxa"/>
            <w:tcMar>
              <w:top w:w="100" w:type="dxa"/>
              <w:left w:w="100" w:type="dxa"/>
              <w:bottom w:w="100" w:type="dxa"/>
              <w:right w:w="100" w:type="dxa"/>
            </w:tcMar>
          </w:tcPr>
          <w:p w14:paraId="7688E34B" w14:textId="77777777" w:rsidR="006B6B37" w:rsidRPr="00870D1F" w:rsidRDefault="006B6B37" w:rsidP="00E7509B">
            <w:pPr>
              <w:spacing w:line="240" w:lineRule="auto"/>
              <w:jc w:val="center"/>
              <w:rPr>
                <w:color w:val="000000"/>
                <w:sz w:val="18"/>
                <w:szCs w:val="18"/>
              </w:rPr>
            </w:pPr>
            <w:r w:rsidRPr="00870D1F">
              <w:rPr>
                <w:color w:val="000000"/>
                <w:sz w:val="18"/>
                <w:szCs w:val="18"/>
              </w:rPr>
              <w:t>0-1%</w:t>
            </w:r>
          </w:p>
        </w:tc>
        <w:tc>
          <w:tcPr>
            <w:tcW w:w="5269" w:type="dxa"/>
            <w:tcMar>
              <w:top w:w="100" w:type="dxa"/>
              <w:left w:w="100" w:type="dxa"/>
              <w:bottom w:w="100" w:type="dxa"/>
              <w:right w:w="100" w:type="dxa"/>
            </w:tcMar>
          </w:tcPr>
          <w:p w14:paraId="7C84B21F" w14:textId="19099016"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931E7A" w:rsidRPr="00870D1F" w14:paraId="3B6D0CCB" w14:textId="77777777" w:rsidTr="00931E7A">
        <w:trPr>
          <w:trHeight w:val="397"/>
          <w:jc w:val="center"/>
        </w:trPr>
        <w:tc>
          <w:tcPr>
            <w:tcW w:w="1275" w:type="dxa"/>
            <w:tcMar>
              <w:top w:w="100" w:type="dxa"/>
              <w:left w:w="100" w:type="dxa"/>
              <w:bottom w:w="100" w:type="dxa"/>
              <w:right w:w="100" w:type="dxa"/>
            </w:tcMar>
          </w:tcPr>
          <w:p w14:paraId="716F768B" w14:textId="380CF618" w:rsidR="00931E7A" w:rsidRPr="006B6B37" w:rsidRDefault="00931E7A" w:rsidP="00931E7A">
            <w:pPr>
              <w:spacing w:line="240" w:lineRule="auto"/>
              <w:ind w:left="22"/>
              <w:rPr>
                <w:color w:val="000000"/>
                <w:sz w:val="18"/>
                <w:szCs w:val="18"/>
              </w:rPr>
            </w:pPr>
            <w:r w:rsidRPr="007E136C">
              <w:rPr>
                <w:sz w:val="18"/>
                <w:szCs w:val="18"/>
              </w:rPr>
              <w:t>Pozdĺžna kontinuita toku</w:t>
            </w:r>
          </w:p>
        </w:tc>
        <w:tc>
          <w:tcPr>
            <w:tcW w:w="1395" w:type="dxa"/>
            <w:tcMar>
              <w:top w:w="100" w:type="dxa"/>
              <w:left w:w="100" w:type="dxa"/>
              <w:bottom w:w="100" w:type="dxa"/>
              <w:right w:w="100" w:type="dxa"/>
            </w:tcMar>
          </w:tcPr>
          <w:p w14:paraId="5C23AD74" w14:textId="6449D0C8" w:rsidR="00931E7A" w:rsidRPr="006B6B37" w:rsidRDefault="00931E7A" w:rsidP="00931E7A">
            <w:pPr>
              <w:spacing w:line="240" w:lineRule="auto"/>
              <w:ind w:left="22"/>
              <w:jc w:val="center"/>
              <w:rPr>
                <w:sz w:val="18"/>
                <w:szCs w:val="18"/>
              </w:rPr>
            </w:pPr>
            <w:r w:rsidRPr="007A6B32">
              <w:rPr>
                <w:sz w:val="18"/>
                <w:szCs w:val="18"/>
              </w:rPr>
              <w:t>Počet migračných prekážok</w:t>
            </w:r>
          </w:p>
        </w:tc>
        <w:tc>
          <w:tcPr>
            <w:tcW w:w="1123" w:type="dxa"/>
            <w:tcMar>
              <w:top w:w="100" w:type="dxa"/>
              <w:left w:w="100" w:type="dxa"/>
              <w:bottom w:w="100" w:type="dxa"/>
              <w:right w:w="100" w:type="dxa"/>
            </w:tcMar>
          </w:tcPr>
          <w:p w14:paraId="5FC217D3" w14:textId="7EDB6F3B" w:rsidR="00931E7A" w:rsidRPr="006B6B37" w:rsidRDefault="00931E7A" w:rsidP="00931E7A">
            <w:pPr>
              <w:spacing w:line="240" w:lineRule="auto"/>
              <w:ind w:left="22"/>
              <w:jc w:val="center"/>
              <w:rPr>
                <w:sz w:val="18"/>
                <w:szCs w:val="18"/>
              </w:rPr>
            </w:pPr>
            <w:r w:rsidRPr="007A6B32">
              <w:rPr>
                <w:sz w:val="18"/>
                <w:szCs w:val="18"/>
              </w:rPr>
              <w:t>0</w:t>
            </w:r>
          </w:p>
        </w:tc>
        <w:tc>
          <w:tcPr>
            <w:tcW w:w="5269" w:type="dxa"/>
            <w:tcMar>
              <w:top w:w="100" w:type="dxa"/>
              <w:left w:w="100" w:type="dxa"/>
              <w:bottom w:w="100" w:type="dxa"/>
              <w:right w:w="100" w:type="dxa"/>
            </w:tcMar>
          </w:tcPr>
          <w:p w14:paraId="3418EDF1" w14:textId="43471DD3" w:rsidR="00931E7A" w:rsidRPr="006B6B37" w:rsidRDefault="00931E7A" w:rsidP="00931E7A">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931E7A" w:rsidRPr="00870D1F" w14:paraId="2A42AA0F" w14:textId="77777777" w:rsidTr="00931E7A">
        <w:trPr>
          <w:trHeight w:val="397"/>
          <w:jc w:val="center"/>
        </w:trPr>
        <w:tc>
          <w:tcPr>
            <w:tcW w:w="1275" w:type="dxa"/>
            <w:tcMar>
              <w:top w:w="100" w:type="dxa"/>
              <w:left w:w="100" w:type="dxa"/>
              <w:bottom w:w="100" w:type="dxa"/>
              <w:right w:w="100" w:type="dxa"/>
            </w:tcMar>
          </w:tcPr>
          <w:p w14:paraId="19854FA2" w14:textId="77777777" w:rsidR="00931E7A" w:rsidRPr="006B6B37" w:rsidRDefault="00931E7A" w:rsidP="00931E7A">
            <w:pPr>
              <w:spacing w:line="240" w:lineRule="auto"/>
              <w:ind w:left="22"/>
              <w:rPr>
                <w:color w:val="000000"/>
                <w:sz w:val="18"/>
                <w:szCs w:val="18"/>
              </w:rPr>
            </w:pPr>
            <w:r w:rsidRPr="006B6B37">
              <w:rPr>
                <w:color w:val="000000"/>
                <w:sz w:val="18"/>
                <w:szCs w:val="18"/>
              </w:rPr>
              <w:t>Kvalita vody</w:t>
            </w:r>
          </w:p>
        </w:tc>
        <w:tc>
          <w:tcPr>
            <w:tcW w:w="1395" w:type="dxa"/>
            <w:tcMar>
              <w:top w:w="100" w:type="dxa"/>
              <w:left w:w="100" w:type="dxa"/>
              <w:bottom w:w="100" w:type="dxa"/>
              <w:right w:w="100" w:type="dxa"/>
            </w:tcMar>
            <w:vAlign w:val="center"/>
          </w:tcPr>
          <w:p w14:paraId="2A4CC36F" w14:textId="77777777" w:rsidR="00931E7A" w:rsidRPr="006B6B37" w:rsidRDefault="00931E7A" w:rsidP="00931E7A">
            <w:pPr>
              <w:spacing w:line="240" w:lineRule="auto"/>
              <w:ind w:left="22"/>
              <w:jc w:val="center"/>
              <w:rPr>
                <w:color w:val="000000"/>
                <w:sz w:val="18"/>
                <w:szCs w:val="18"/>
              </w:rPr>
            </w:pPr>
            <w:r w:rsidRPr="006B6B37">
              <w:rPr>
                <w:sz w:val="18"/>
                <w:szCs w:val="18"/>
              </w:rPr>
              <w:t>Monitoring kvality povrchových vôd (SHMU)</w:t>
            </w:r>
          </w:p>
        </w:tc>
        <w:tc>
          <w:tcPr>
            <w:tcW w:w="1123" w:type="dxa"/>
            <w:tcMar>
              <w:top w:w="100" w:type="dxa"/>
              <w:left w:w="100" w:type="dxa"/>
              <w:bottom w:w="100" w:type="dxa"/>
              <w:right w:w="100" w:type="dxa"/>
            </w:tcMar>
            <w:vAlign w:val="center"/>
          </w:tcPr>
          <w:p w14:paraId="5DF23B09" w14:textId="77777777" w:rsidR="00931E7A" w:rsidRPr="006B6B37" w:rsidRDefault="00931E7A" w:rsidP="00931E7A">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269" w:type="dxa"/>
            <w:tcMar>
              <w:top w:w="100" w:type="dxa"/>
              <w:left w:w="100" w:type="dxa"/>
              <w:bottom w:w="100" w:type="dxa"/>
              <w:right w:w="100" w:type="dxa"/>
            </w:tcMar>
            <w:vAlign w:val="center"/>
          </w:tcPr>
          <w:p w14:paraId="30CFAD93" w14:textId="4B34F55E" w:rsidR="00931E7A" w:rsidRPr="006B6B37" w:rsidRDefault="00931E7A" w:rsidP="00931E7A">
            <w:pPr>
              <w:spacing w:line="240" w:lineRule="auto"/>
              <w:ind w:left="29"/>
              <w:rPr>
                <w:color w:val="000000"/>
                <w:sz w:val="18"/>
                <w:szCs w:val="18"/>
              </w:rPr>
            </w:pPr>
            <w:r w:rsidRPr="006B6B37">
              <w:rPr>
                <w:sz w:val="18"/>
                <w:szCs w:val="18"/>
              </w:rPr>
              <w:t>V zmysle výsledkov sledovani</w:t>
            </w:r>
            <w:r>
              <w:rPr>
                <w:sz w:val="18"/>
                <w:szCs w:val="18"/>
              </w:rPr>
              <w:t>a</w:t>
            </w:r>
            <w:r w:rsidRPr="006B6B37">
              <w:rPr>
                <w:sz w:val="18"/>
                <w:szCs w:val="18"/>
              </w:rPr>
              <w:t xml:space="preserve"> stavu kvality vody v toku sa vyžaduje zachovanie stavu vyhovujúce v zmysle platných metodík na hodnotenie stavu kvality povrchových vôd (</w:t>
            </w:r>
            <w:hyperlink r:id="rId6" w:history="1">
              <w:r w:rsidRPr="006B6B37">
                <w:rPr>
                  <w:sz w:val="18"/>
                  <w:szCs w:val="18"/>
                </w:rPr>
                <w:t>http://www.shmu.sk/sk/?page=1&amp;id=kvalita_povrchovych_vod</w:t>
              </w:r>
            </w:hyperlink>
            <w:r w:rsidRPr="006B6B37">
              <w:rPr>
                <w:sz w:val="18"/>
                <w:szCs w:val="18"/>
              </w:rPr>
              <w:t>).</w:t>
            </w:r>
          </w:p>
        </w:tc>
      </w:tr>
    </w:tbl>
    <w:p w14:paraId="0E5A8318" w14:textId="551D98C5" w:rsidR="006B6B37" w:rsidRDefault="006B6B37" w:rsidP="00051F93">
      <w:pPr>
        <w:pStyle w:val="Zkladntext"/>
        <w:widowControl w:val="0"/>
        <w:jc w:val="both"/>
        <w:rPr>
          <w:lang w:val="sk-SK"/>
        </w:rPr>
      </w:pPr>
    </w:p>
    <w:p w14:paraId="56A86E11" w14:textId="198B31BE"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3908"/>
      </w:tblGrid>
      <w:tr w:rsidR="00653E40" w:rsidRPr="00FA03B9" w14:paraId="18D567F0" w14:textId="77777777" w:rsidTr="00931E7A">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3908"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931E7A">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3908" w:type="dxa"/>
            <w:tcMar>
              <w:top w:w="100" w:type="dxa"/>
              <w:left w:w="100" w:type="dxa"/>
              <w:bottom w:w="100" w:type="dxa"/>
              <w:right w:w="100" w:type="dxa"/>
            </w:tcMar>
          </w:tcPr>
          <w:p w14:paraId="4EEBB4A8" w14:textId="40442456" w:rsidR="00653E40" w:rsidRPr="00FA03B9" w:rsidRDefault="00653E40" w:rsidP="00757867">
            <w:pPr>
              <w:spacing w:line="240" w:lineRule="auto"/>
              <w:rPr>
                <w:sz w:val="18"/>
                <w:szCs w:val="18"/>
              </w:rPr>
            </w:pPr>
            <w:r w:rsidRPr="007720DF">
              <w:rPr>
                <w:color w:val="000000"/>
                <w:sz w:val="18"/>
                <w:szCs w:val="18"/>
              </w:rPr>
              <w:t>Podľa dostupných údajov (SDF) je veľkosť popul</w:t>
            </w:r>
            <w:r>
              <w:rPr>
                <w:color w:val="000000"/>
                <w:sz w:val="18"/>
                <w:szCs w:val="18"/>
              </w:rPr>
              <w:t>ácie druh</w:t>
            </w:r>
            <w:r w:rsidR="00757867">
              <w:rPr>
                <w:color w:val="000000"/>
                <w:sz w:val="18"/>
                <w:szCs w:val="18"/>
              </w:rPr>
              <w:t xml:space="preserve">u v území odhadovaná </w:t>
            </w:r>
            <w:r w:rsidR="009C2B5F">
              <w:rPr>
                <w:color w:val="000000"/>
                <w:sz w:val="18"/>
                <w:szCs w:val="18"/>
              </w:rPr>
              <w:t xml:space="preserve">na </w:t>
            </w:r>
            <w:r w:rsidR="001413B3">
              <w:rPr>
                <w:color w:val="000000"/>
                <w:sz w:val="18"/>
                <w:szCs w:val="18"/>
              </w:rPr>
              <w:t>5</w:t>
            </w:r>
            <w:r w:rsidR="00FB47F5">
              <w:rPr>
                <w:color w:val="000000"/>
                <w:sz w:val="18"/>
                <w:szCs w:val="18"/>
              </w:rPr>
              <w:t>0</w:t>
            </w:r>
            <w:r w:rsidR="009C2B5F">
              <w:rPr>
                <w:color w:val="000000"/>
                <w:sz w:val="18"/>
                <w:szCs w:val="18"/>
              </w:rPr>
              <w:t xml:space="preserve"> - 100</w:t>
            </w:r>
            <w:r w:rsidR="00FB47F5">
              <w:rPr>
                <w:color w:val="000000"/>
                <w:sz w:val="18"/>
                <w:szCs w:val="18"/>
              </w:rPr>
              <w:t xml:space="preserve"> </w:t>
            </w:r>
            <w:r w:rsidRPr="007720DF">
              <w:rPr>
                <w:color w:val="000000"/>
                <w:sz w:val="18"/>
                <w:szCs w:val="18"/>
              </w:rPr>
              <w:t xml:space="preserve">jedincov. </w:t>
            </w:r>
          </w:p>
        </w:tc>
      </w:tr>
      <w:tr w:rsidR="00653E40" w:rsidRPr="00FA03B9" w14:paraId="6B263A6C" w14:textId="77777777" w:rsidTr="00931E7A">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3908"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931E7A">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3908"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931E7A">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0B046FAB" w14:textId="08C3A28E" w:rsidR="00653E40" w:rsidRPr="00FA03B9" w:rsidRDefault="00653E40" w:rsidP="00931E7A">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3908"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931E7A">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3908"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931E7A">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3908"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931E7A">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3908" w:type="dxa"/>
            <w:tcMar>
              <w:top w:w="100" w:type="dxa"/>
              <w:left w:w="100" w:type="dxa"/>
              <w:bottom w:w="100" w:type="dxa"/>
              <w:right w:w="100" w:type="dxa"/>
            </w:tcMar>
          </w:tcPr>
          <w:p w14:paraId="085C3996" w14:textId="0DE7DB4D" w:rsidR="00653E40" w:rsidRPr="00FA03B9" w:rsidRDefault="00653E40" w:rsidP="00957BF7">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133507B6" w:rsidR="00653E40" w:rsidRDefault="00653E40" w:rsidP="00EC21C0">
      <w:pPr>
        <w:spacing w:line="240" w:lineRule="auto"/>
        <w:ind w:left="-284"/>
        <w:rPr>
          <w:color w:val="000000"/>
          <w:szCs w:val="24"/>
        </w:rPr>
      </w:pPr>
    </w:p>
    <w:p w14:paraId="5C66A1A3" w14:textId="77777777" w:rsidR="00757867" w:rsidRPr="004451E9" w:rsidRDefault="00757867" w:rsidP="00757867">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757867" w:rsidRPr="00870D1F" w14:paraId="64B17FC4" w14:textId="77777777" w:rsidTr="002A4AEE">
        <w:trPr>
          <w:jc w:val="center"/>
        </w:trPr>
        <w:tc>
          <w:tcPr>
            <w:tcW w:w="1700" w:type="dxa"/>
            <w:tcMar>
              <w:top w:w="100" w:type="dxa"/>
              <w:left w:w="100" w:type="dxa"/>
              <w:bottom w:w="100" w:type="dxa"/>
              <w:right w:w="100" w:type="dxa"/>
            </w:tcMar>
          </w:tcPr>
          <w:p w14:paraId="6853DCC7"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7449B414"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4A8E51C9"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50E462DC"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Doplnkové informácie</w:t>
            </w:r>
          </w:p>
        </w:tc>
      </w:tr>
      <w:tr w:rsidR="00757867" w:rsidRPr="00870D1F" w14:paraId="24F1B48E" w14:textId="77777777" w:rsidTr="002A4AEE">
        <w:trPr>
          <w:trHeight w:val="225"/>
          <w:jc w:val="center"/>
        </w:trPr>
        <w:tc>
          <w:tcPr>
            <w:tcW w:w="1700" w:type="dxa"/>
            <w:tcMar>
              <w:top w:w="100" w:type="dxa"/>
              <w:left w:w="100" w:type="dxa"/>
              <w:bottom w:w="100" w:type="dxa"/>
              <w:right w:w="100" w:type="dxa"/>
            </w:tcMar>
          </w:tcPr>
          <w:p w14:paraId="087F66FC" w14:textId="77777777" w:rsidR="00757867" w:rsidRPr="00870D1F" w:rsidRDefault="00757867" w:rsidP="002A4AEE">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1A9E90CA" w14:textId="77777777" w:rsidR="00757867" w:rsidRPr="00870D1F" w:rsidRDefault="00757867"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5025548C" w14:textId="77777777" w:rsidR="00757867" w:rsidRPr="00870D1F" w:rsidRDefault="00757867" w:rsidP="002A4AEE">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43295D6B" w14:textId="7B0B7FF3" w:rsidR="00757867" w:rsidRPr="00870D1F" w:rsidRDefault="00757867" w:rsidP="001D06D6">
            <w:pPr>
              <w:spacing w:line="240" w:lineRule="auto"/>
              <w:rPr>
                <w:color w:val="000000"/>
                <w:sz w:val="20"/>
                <w:szCs w:val="20"/>
              </w:rPr>
            </w:pPr>
            <w:r w:rsidRPr="00870D1F">
              <w:rPr>
                <w:color w:val="000000"/>
                <w:sz w:val="20"/>
                <w:szCs w:val="20"/>
              </w:rPr>
              <w:t>Podľa dostupných údajov dosahoval dr</w:t>
            </w:r>
            <w:r w:rsidR="001D06D6">
              <w:rPr>
                <w:color w:val="000000"/>
                <w:sz w:val="20"/>
                <w:szCs w:val="20"/>
              </w:rPr>
              <w:t xml:space="preserve">uh v lokalite </w:t>
            </w:r>
            <w:r>
              <w:rPr>
                <w:color w:val="000000"/>
                <w:sz w:val="20"/>
                <w:szCs w:val="20"/>
              </w:rPr>
              <w:t xml:space="preserve">zastúpenie </w:t>
            </w:r>
            <w:r w:rsidR="009C2B5F">
              <w:rPr>
                <w:color w:val="000000"/>
                <w:sz w:val="20"/>
                <w:szCs w:val="20"/>
              </w:rPr>
              <w:t>na 1</w:t>
            </w:r>
            <w:r>
              <w:rPr>
                <w:color w:val="000000"/>
                <w:sz w:val="20"/>
                <w:szCs w:val="20"/>
              </w:rPr>
              <w:t xml:space="preserve">0 </w:t>
            </w:r>
            <w:r w:rsidR="009C2B5F">
              <w:rPr>
                <w:color w:val="000000"/>
                <w:sz w:val="20"/>
                <w:szCs w:val="20"/>
              </w:rPr>
              <w:t xml:space="preserve">– 50 </w:t>
            </w:r>
            <w:r>
              <w:rPr>
                <w:color w:val="000000"/>
                <w:sz w:val="20"/>
                <w:szCs w:val="20"/>
              </w:rPr>
              <w:t>jedincov.</w:t>
            </w:r>
            <w:r w:rsidRPr="00870D1F">
              <w:rPr>
                <w:color w:val="000000"/>
                <w:sz w:val="20"/>
                <w:szCs w:val="20"/>
              </w:rPr>
              <w:t xml:space="preserve"> </w:t>
            </w:r>
          </w:p>
        </w:tc>
      </w:tr>
      <w:tr w:rsidR="00757867" w:rsidRPr="00870D1F" w14:paraId="56086B88" w14:textId="77777777" w:rsidTr="002A4AEE">
        <w:trPr>
          <w:trHeight w:val="225"/>
          <w:jc w:val="center"/>
        </w:trPr>
        <w:tc>
          <w:tcPr>
            <w:tcW w:w="1700" w:type="dxa"/>
            <w:tcMar>
              <w:top w:w="100" w:type="dxa"/>
              <w:left w:w="100" w:type="dxa"/>
              <w:bottom w:w="100" w:type="dxa"/>
              <w:right w:w="100" w:type="dxa"/>
            </w:tcMar>
          </w:tcPr>
          <w:p w14:paraId="67A86787" w14:textId="77777777" w:rsidR="00757867" w:rsidRPr="00870D1F" w:rsidRDefault="00757867"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42988BDF" w14:textId="77777777" w:rsidR="00757867" w:rsidRPr="00870D1F" w:rsidRDefault="00757867" w:rsidP="002A4AEE">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713ABE14" w14:textId="77777777" w:rsidR="00757867" w:rsidRPr="00870D1F" w:rsidRDefault="00757867" w:rsidP="002A4AEE">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759AFDD3" w14:textId="77777777" w:rsidR="00757867" w:rsidRPr="00870D1F" w:rsidRDefault="00757867" w:rsidP="002A4AEE">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757867" w:rsidRPr="00870D1F" w14:paraId="58857B6E" w14:textId="77777777" w:rsidTr="002A4AEE">
        <w:trPr>
          <w:trHeight w:val="225"/>
          <w:jc w:val="center"/>
        </w:trPr>
        <w:tc>
          <w:tcPr>
            <w:tcW w:w="1700" w:type="dxa"/>
            <w:tcMar>
              <w:top w:w="100" w:type="dxa"/>
              <w:left w:w="100" w:type="dxa"/>
              <w:bottom w:w="100" w:type="dxa"/>
              <w:right w:w="100" w:type="dxa"/>
            </w:tcMar>
          </w:tcPr>
          <w:p w14:paraId="1C121F31" w14:textId="77777777" w:rsidR="00757867" w:rsidRPr="00870D1F" w:rsidRDefault="00757867"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7E436C05"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B93F81E" w14:textId="77777777" w:rsidR="00757867" w:rsidRPr="00870D1F" w:rsidRDefault="00757867"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76A2A449" w14:textId="77777777" w:rsidR="00757867" w:rsidRPr="00870D1F" w:rsidRDefault="00757867" w:rsidP="002A4AEE">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757867" w:rsidRPr="00870D1F" w14:paraId="02461F40" w14:textId="77777777" w:rsidTr="002A4AEE">
        <w:trPr>
          <w:trHeight w:val="397"/>
          <w:jc w:val="center"/>
        </w:trPr>
        <w:tc>
          <w:tcPr>
            <w:tcW w:w="1700" w:type="dxa"/>
            <w:tcMar>
              <w:top w:w="100" w:type="dxa"/>
              <w:left w:w="100" w:type="dxa"/>
              <w:bottom w:w="100" w:type="dxa"/>
              <w:right w:w="100" w:type="dxa"/>
            </w:tcMar>
          </w:tcPr>
          <w:p w14:paraId="13DD0EFE" w14:textId="77777777" w:rsidR="00757867" w:rsidRPr="00870D1F" w:rsidRDefault="00757867"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2294EC8F"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4643EBF6" w14:textId="77777777" w:rsidR="00757867" w:rsidRPr="00870D1F" w:rsidRDefault="00757867" w:rsidP="002A4AEE">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36C0172E" w14:textId="6EA4D73C" w:rsidR="00757867" w:rsidRPr="00870D1F" w:rsidRDefault="00757867" w:rsidP="001D06D6">
            <w:pPr>
              <w:spacing w:line="240" w:lineRule="auto"/>
              <w:ind w:left="29"/>
              <w:rPr>
                <w:color w:val="000000"/>
                <w:sz w:val="20"/>
                <w:szCs w:val="20"/>
              </w:rPr>
            </w:pPr>
            <w:r w:rsidRPr="00870D1F">
              <w:rPr>
                <w:color w:val="000000"/>
                <w:sz w:val="20"/>
                <w:szCs w:val="20"/>
              </w:rPr>
              <w:t xml:space="preserve">Podľa dostupných údajov možno zastúpenie inváznych a nepôvodných druhov v predmetnom úseku rieky </w:t>
            </w:r>
            <w:r>
              <w:rPr>
                <w:color w:val="000000"/>
                <w:sz w:val="20"/>
                <w:szCs w:val="20"/>
              </w:rPr>
              <w:t xml:space="preserve">hodnotiť </w:t>
            </w:r>
            <w:r w:rsidR="001D06D6">
              <w:rPr>
                <w:color w:val="000000"/>
                <w:sz w:val="20"/>
                <w:szCs w:val="20"/>
              </w:rPr>
              <w:t>ako nevýznamné (0,1</w:t>
            </w:r>
            <w:r>
              <w:rPr>
                <w:color w:val="000000"/>
                <w:sz w:val="20"/>
                <w:szCs w:val="20"/>
              </w:rPr>
              <w:t xml:space="preserve"> %</w:t>
            </w:r>
            <w:r w:rsidR="001D06D6">
              <w:rPr>
                <w:color w:val="000000"/>
                <w:sz w:val="20"/>
                <w:szCs w:val="20"/>
              </w:rPr>
              <w:t>)</w:t>
            </w:r>
            <w:r w:rsidRPr="00870D1F">
              <w:rPr>
                <w:color w:val="000000"/>
                <w:sz w:val="20"/>
                <w:szCs w:val="20"/>
              </w:rPr>
              <w:t xml:space="preserve"> Je však potrebné ich výskyt monitorovať. </w:t>
            </w:r>
          </w:p>
        </w:tc>
      </w:tr>
      <w:tr w:rsidR="00757867" w:rsidRPr="00870D1F" w14:paraId="5AAAE1BB" w14:textId="77777777" w:rsidTr="002A4AEE">
        <w:trPr>
          <w:trHeight w:val="397"/>
          <w:jc w:val="center"/>
        </w:trPr>
        <w:tc>
          <w:tcPr>
            <w:tcW w:w="1700" w:type="dxa"/>
            <w:tcMar>
              <w:top w:w="100" w:type="dxa"/>
              <w:left w:w="100" w:type="dxa"/>
              <w:bottom w:w="100" w:type="dxa"/>
              <w:right w:w="100" w:type="dxa"/>
            </w:tcMar>
          </w:tcPr>
          <w:p w14:paraId="57297E11" w14:textId="77777777" w:rsidR="00757867" w:rsidRPr="00870D1F" w:rsidRDefault="00757867" w:rsidP="002A4AEE">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6DD62545" w14:textId="77777777" w:rsidR="00757867" w:rsidRPr="00870D1F" w:rsidRDefault="00757867" w:rsidP="002A4AEE">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4B60C9C4" w14:textId="77777777" w:rsidR="00757867" w:rsidRPr="00870D1F" w:rsidRDefault="00757867" w:rsidP="002A4AEE">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5B294E3A" w14:textId="543FD61C" w:rsidR="00757867" w:rsidRPr="00870D1F" w:rsidRDefault="00757867" w:rsidP="00931E7A">
            <w:pPr>
              <w:spacing w:line="240" w:lineRule="auto"/>
              <w:ind w:left="29"/>
              <w:rPr>
                <w:color w:val="000000"/>
                <w:sz w:val="20"/>
                <w:szCs w:val="20"/>
              </w:rPr>
            </w:pPr>
            <w:r w:rsidRPr="00D52383">
              <w:rPr>
                <w:sz w:val="18"/>
                <w:szCs w:val="18"/>
              </w:rPr>
              <w:t>V zmysle výsledkov sledovania stavu kvality vody v toku 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74758B1C" w14:textId="010A8972" w:rsidR="00757867" w:rsidRDefault="00757867" w:rsidP="00EC21C0">
      <w:pPr>
        <w:spacing w:line="240" w:lineRule="auto"/>
        <w:ind w:left="-284"/>
        <w:rPr>
          <w:color w:val="000000"/>
          <w:szCs w:val="24"/>
        </w:rPr>
      </w:pPr>
    </w:p>
    <w:p w14:paraId="32517C06" w14:textId="77777777" w:rsidR="009B189C" w:rsidRDefault="009B189C" w:rsidP="009B189C">
      <w:pPr>
        <w:pStyle w:val="Zkladntext"/>
        <w:widowControl w:val="0"/>
        <w:jc w:val="both"/>
        <w:rPr>
          <w:b/>
        </w:rPr>
      </w:pPr>
      <w:r>
        <w:rPr>
          <w:lang w:val="sk-SK"/>
        </w:rPr>
        <w:t xml:space="preserve">Zachovanie </w:t>
      </w:r>
      <w:r>
        <w:t xml:space="preserve">stavu </w:t>
      </w:r>
      <w:r w:rsidRPr="007720DF">
        <w:t xml:space="preserve">druhu </w:t>
      </w:r>
      <w:r w:rsidRPr="00671489">
        <w:rPr>
          <w:b/>
          <w:i/>
        </w:rPr>
        <w:t>Aspius aspius</w:t>
      </w:r>
      <w:r>
        <w:rPr>
          <w:i/>
        </w:rPr>
        <w:t xml:space="preserve"> </w:t>
      </w:r>
      <w: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9B189C" w:rsidRPr="007A6B32" w14:paraId="3F5FC3EB" w14:textId="77777777" w:rsidTr="002A4AEE">
        <w:trPr>
          <w:jc w:val="center"/>
        </w:trPr>
        <w:tc>
          <w:tcPr>
            <w:tcW w:w="2126" w:type="dxa"/>
            <w:tcMar>
              <w:top w:w="100" w:type="dxa"/>
              <w:left w:w="100" w:type="dxa"/>
              <w:bottom w:w="100" w:type="dxa"/>
              <w:right w:w="100" w:type="dxa"/>
            </w:tcMar>
          </w:tcPr>
          <w:p w14:paraId="7B0FD0D9" w14:textId="77777777" w:rsidR="009B189C" w:rsidRPr="00E7509B" w:rsidRDefault="009B189C" w:rsidP="002A4AEE">
            <w:pPr>
              <w:widowControl w:val="0"/>
              <w:spacing w:line="240" w:lineRule="auto"/>
              <w:jc w:val="center"/>
              <w:rPr>
                <w:b/>
                <w:sz w:val="18"/>
                <w:szCs w:val="18"/>
              </w:rPr>
            </w:pPr>
            <w:r w:rsidRPr="00E7509B">
              <w:rPr>
                <w:b/>
                <w:color w:val="000000"/>
                <w:sz w:val="20"/>
                <w:szCs w:val="20"/>
              </w:rPr>
              <w:t>Parameter</w:t>
            </w:r>
          </w:p>
        </w:tc>
        <w:tc>
          <w:tcPr>
            <w:tcW w:w="1843" w:type="dxa"/>
            <w:tcMar>
              <w:top w:w="100" w:type="dxa"/>
              <w:left w:w="100" w:type="dxa"/>
              <w:bottom w:w="100" w:type="dxa"/>
              <w:right w:w="100" w:type="dxa"/>
            </w:tcMar>
          </w:tcPr>
          <w:p w14:paraId="28CC1526" w14:textId="77777777" w:rsidR="009B189C" w:rsidRPr="00E7509B" w:rsidRDefault="009B189C" w:rsidP="002A4AEE">
            <w:pPr>
              <w:widowControl w:val="0"/>
              <w:spacing w:line="240" w:lineRule="auto"/>
              <w:jc w:val="center"/>
              <w:rPr>
                <w:b/>
                <w:sz w:val="18"/>
                <w:szCs w:val="18"/>
              </w:rPr>
            </w:pPr>
            <w:r w:rsidRPr="00E7509B">
              <w:rPr>
                <w:b/>
                <w:color w:val="000000"/>
                <w:sz w:val="20"/>
                <w:szCs w:val="20"/>
              </w:rPr>
              <w:t xml:space="preserve">Merateľnosť </w:t>
            </w:r>
          </w:p>
        </w:tc>
        <w:tc>
          <w:tcPr>
            <w:tcW w:w="1200" w:type="dxa"/>
            <w:tcMar>
              <w:top w:w="100" w:type="dxa"/>
              <w:left w:w="100" w:type="dxa"/>
              <w:bottom w:w="100" w:type="dxa"/>
              <w:right w:w="100" w:type="dxa"/>
            </w:tcMar>
          </w:tcPr>
          <w:p w14:paraId="38541BDC" w14:textId="77777777" w:rsidR="009B189C" w:rsidRPr="00E7509B" w:rsidRDefault="009B189C" w:rsidP="002A4AEE">
            <w:pPr>
              <w:widowControl w:val="0"/>
              <w:spacing w:line="240" w:lineRule="auto"/>
              <w:jc w:val="center"/>
              <w:rPr>
                <w:b/>
                <w:sz w:val="18"/>
                <w:szCs w:val="18"/>
              </w:rPr>
            </w:pPr>
            <w:r w:rsidRPr="00E7509B">
              <w:rPr>
                <w:b/>
                <w:color w:val="000000"/>
                <w:sz w:val="20"/>
                <w:szCs w:val="20"/>
              </w:rPr>
              <w:t>Cieľová hodnota</w:t>
            </w:r>
          </w:p>
        </w:tc>
        <w:tc>
          <w:tcPr>
            <w:tcW w:w="4073" w:type="dxa"/>
            <w:tcMar>
              <w:top w:w="100" w:type="dxa"/>
              <w:left w:w="100" w:type="dxa"/>
              <w:bottom w:w="100" w:type="dxa"/>
              <w:right w:w="100" w:type="dxa"/>
            </w:tcMar>
          </w:tcPr>
          <w:p w14:paraId="0DBDA496" w14:textId="77777777" w:rsidR="009B189C" w:rsidRPr="00E7509B" w:rsidRDefault="009B189C" w:rsidP="002A4AEE">
            <w:pPr>
              <w:widowControl w:val="0"/>
              <w:spacing w:line="240" w:lineRule="auto"/>
              <w:jc w:val="center"/>
              <w:rPr>
                <w:b/>
                <w:sz w:val="18"/>
                <w:szCs w:val="18"/>
              </w:rPr>
            </w:pPr>
            <w:r w:rsidRPr="00E7509B">
              <w:rPr>
                <w:b/>
                <w:color w:val="000000"/>
                <w:sz w:val="20"/>
                <w:szCs w:val="20"/>
              </w:rPr>
              <w:t>Poznámky/Doplňujúce informácie</w:t>
            </w:r>
          </w:p>
        </w:tc>
      </w:tr>
      <w:tr w:rsidR="009B189C" w:rsidRPr="007A6B32" w14:paraId="0467732B" w14:textId="77777777" w:rsidTr="002A4AEE">
        <w:trPr>
          <w:trHeight w:val="225"/>
          <w:jc w:val="center"/>
        </w:trPr>
        <w:tc>
          <w:tcPr>
            <w:tcW w:w="2126" w:type="dxa"/>
            <w:tcMar>
              <w:top w:w="100" w:type="dxa"/>
              <w:left w:w="100" w:type="dxa"/>
              <w:bottom w:w="100" w:type="dxa"/>
              <w:right w:w="100" w:type="dxa"/>
            </w:tcMar>
          </w:tcPr>
          <w:p w14:paraId="57EBD567" w14:textId="77777777" w:rsidR="009B189C" w:rsidRPr="007E136C" w:rsidRDefault="009B189C" w:rsidP="002A4AEE">
            <w:pPr>
              <w:spacing w:line="240" w:lineRule="auto"/>
              <w:jc w:val="both"/>
              <w:rPr>
                <w:sz w:val="18"/>
                <w:szCs w:val="18"/>
              </w:rPr>
            </w:pPr>
            <w:r w:rsidRPr="007E136C">
              <w:rPr>
                <w:sz w:val="18"/>
                <w:szCs w:val="18"/>
              </w:rPr>
              <w:t>Veľkosť populácie</w:t>
            </w:r>
          </w:p>
        </w:tc>
        <w:tc>
          <w:tcPr>
            <w:tcW w:w="1843" w:type="dxa"/>
            <w:tcMar>
              <w:top w:w="100" w:type="dxa"/>
              <w:left w:w="100" w:type="dxa"/>
              <w:bottom w:w="100" w:type="dxa"/>
              <w:right w:w="100" w:type="dxa"/>
            </w:tcMar>
          </w:tcPr>
          <w:p w14:paraId="0D66B1C1" w14:textId="77777777" w:rsidR="009B189C" w:rsidRPr="007A6B32" w:rsidRDefault="009B189C" w:rsidP="002A4AEE">
            <w:pPr>
              <w:spacing w:line="240" w:lineRule="auto"/>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37BDEAB7" w14:textId="6691B7D2" w:rsidR="009B189C" w:rsidRPr="007A6B32" w:rsidRDefault="009B189C" w:rsidP="002A4AEE">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0BE251C4" w14:textId="2C0EF97A" w:rsidR="009B189C" w:rsidRPr="007A6B32" w:rsidRDefault="009B189C" w:rsidP="002A4AEE">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odhadovaná od 50 do 100 jedincov druhu</w:t>
            </w:r>
            <w:r w:rsidRPr="007A6B32">
              <w:rPr>
                <w:color w:val="000000"/>
                <w:sz w:val="18"/>
                <w:szCs w:val="18"/>
              </w:rPr>
              <w:t>.</w:t>
            </w:r>
            <w:r w:rsidRPr="007A6B32">
              <w:t xml:space="preserve"> </w:t>
            </w:r>
          </w:p>
        </w:tc>
      </w:tr>
      <w:tr w:rsidR="009B189C" w:rsidRPr="007A6B32" w14:paraId="2E822B96" w14:textId="77777777" w:rsidTr="002A4AEE">
        <w:trPr>
          <w:trHeight w:val="225"/>
          <w:jc w:val="center"/>
        </w:trPr>
        <w:tc>
          <w:tcPr>
            <w:tcW w:w="2126" w:type="dxa"/>
            <w:tcMar>
              <w:top w:w="100" w:type="dxa"/>
              <w:left w:w="100" w:type="dxa"/>
              <w:bottom w:w="100" w:type="dxa"/>
              <w:right w:w="100" w:type="dxa"/>
            </w:tcMar>
          </w:tcPr>
          <w:p w14:paraId="0FB9FD7C" w14:textId="77777777" w:rsidR="009B189C" w:rsidRPr="007E136C" w:rsidRDefault="009B189C" w:rsidP="002A4AEE">
            <w:pPr>
              <w:spacing w:line="240" w:lineRule="auto"/>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6D3E2EBF" w14:textId="77777777" w:rsidR="009B189C" w:rsidRPr="007A6B32" w:rsidRDefault="009B189C" w:rsidP="002A4AEE">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05945824" w14:textId="77777777" w:rsidR="009B189C" w:rsidRPr="007A6B32" w:rsidRDefault="009B189C" w:rsidP="002A4AEE">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27060F35" w14:textId="77777777" w:rsidR="009B189C" w:rsidRPr="00411DC8" w:rsidRDefault="009B189C" w:rsidP="002A4AEE">
            <w:pPr>
              <w:spacing w:line="240" w:lineRule="auto"/>
              <w:rPr>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v, v kombinácii s hlbšími miestami.</w:t>
            </w:r>
          </w:p>
        </w:tc>
      </w:tr>
      <w:tr w:rsidR="009B189C" w:rsidRPr="007A6B32" w14:paraId="032E8356" w14:textId="77777777" w:rsidTr="002A4AEE">
        <w:trPr>
          <w:trHeight w:val="397"/>
          <w:jc w:val="center"/>
        </w:trPr>
        <w:tc>
          <w:tcPr>
            <w:tcW w:w="2126" w:type="dxa"/>
            <w:tcMar>
              <w:top w:w="100" w:type="dxa"/>
              <w:left w:w="100" w:type="dxa"/>
              <w:bottom w:w="100" w:type="dxa"/>
              <w:right w:w="100" w:type="dxa"/>
            </w:tcMar>
          </w:tcPr>
          <w:p w14:paraId="52CEF055" w14:textId="77777777" w:rsidR="009B189C" w:rsidRPr="007E136C" w:rsidRDefault="009B189C" w:rsidP="002A4AEE">
            <w:pPr>
              <w:spacing w:line="240" w:lineRule="auto"/>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67E6DAB9" w14:textId="77777777" w:rsidR="009B189C" w:rsidRPr="007E136C" w:rsidRDefault="009B189C" w:rsidP="002A4AEE">
            <w:pPr>
              <w:spacing w:line="240" w:lineRule="auto"/>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1E61CFFD" w14:textId="77777777" w:rsidR="009B189C" w:rsidRPr="007E136C" w:rsidRDefault="009B189C" w:rsidP="002A4AEE">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2974DC27" w14:textId="77777777" w:rsidR="009B189C" w:rsidRPr="007E136C" w:rsidRDefault="009B189C" w:rsidP="002A4AEE">
            <w:pPr>
              <w:spacing w:line="240" w:lineRule="auto"/>
              <w:ind w:left="29"/>
              <w:rPr>
                <w:sz w:val="18"/>
                <w:szCs w:val="18"/>
              </w:rPr>
            </w:pPr>
            <w:r w:rsidRPr="00D52383">
              <w:rPr>
                <w:sz w:val="18"/>
                <w:szCs w:val="18"/>
              </w:rPr>
              <w:t xml:space="preserve">V zmysle výsledkov sledovania stavu kvality vody v toku sa vyžaduje zachovanie stavu vyhovujúce v zmysle platných metodík na hodnotenie stavu kvality povrchových vôd. </w:t>
            </w:r>
            <w:r w:rsidRPr="001258AA">
              <w:rPr>
                <w:sz w:val="20"/>
                <w:szCs w:val="20"/>
              </w:rPr>
              <w:t xml:space="preserve">Druh je </w:t>
            </w:r>
            <w:r>
              <w:rPr>
                <w:sz w:val="20"/>
                <w:szCs w:val="20"/>
              </w:rPr>
              <w:t xml:space="preserve">náročný na </w:t>
            </w:r>
            <w:r w:rsidRPr="001258AA">
              <w:rPr>
                <w:sz w:val="20"/>
                <w:szCs w:val="20"/>
              </w:rPr>
              <w:t>kvalitu vody.</w:t>
            </w:r>
          </w:p>
        </w:tc>
      </w:tr>
      <w:tr w:rsidR="009B189C" w:rsidRPr="007A6B32" w14:paraId="0325A69A" w14:textId="77777777" w:rsidTr="002A4AEE">
        <w:trPr>
          <w:trHeight w:val="397"/>
          <w:jc w:val="center"/>
        </w:trPr>
        <w:tc>
          <w:tcPr>
            <w:tcW w:w="2126" w:type="dxa"/>
            <w:tcMar>
              <w:top w:w="100" w:type="dxa"/>
              <w:left w:w="100" w:type="dxa"/>
              <w:bottom w:w="100" w:type="dxa"/>
              <w:right w:w="100" w:type="dxa"/>
            </w:tcMar>
          </w:tcPr>
          <w:p w14:paraId="2A713271" w14:textId="77777777" w:rsidR="009B189C" w:rsidRPr="007E136C" w:rsidRDefault="009B189C" w:rsidP="002A4AEE">
            <w:pPr>
              <w:spacing w:line="240" w:lineRule="auto"/>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53A8D55F" w14:textId="77777777" w:rsidR="009B189C" w:rsidRPr="007A6B32" w:rsidRDefault="009B189C" w:rsidP="002A4AEE">
            <w:pPr>
              <w:spacing w:line="240" w:lineRule="auto"/>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0F0E7076" w14:textId="77777777" w:rsidR="009B189C" w:rsidRPr="007A6B32" w:rsidRDefault="009B189C" w:rsidP="002A4AEE">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37FD1544" w14:textId="2F60AD0C" w:rsidR="009B189C" w:rsidRPr="007A6B32" w:rsidRDefault="009B189C" w:rsidP="00931E7A">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xml:space="preserve">, aby sa nebránilo migrácii </w:t>
            </w:r>
            <w:r w:rsidR="00931E7A">
              <w:rPr>
                <w:sz w:val="18"/>
                <w:szCs w:val="18"/>
              </w:rPr>
              <w:t>druhu.</w:t>
            </w:r>
            <w:bookmarkStart w:id="0" w:name="_GoBack"/>
            <w:bookmarkEnd w:id="0"/>
            <w:r w:rsidRPr="007A6B32">
              <w:rPr>
                <w:sz w:val="18"/>
                <w:szCs w:val="18"/>
              </w:rPr>
              <w:t xml:space="preserve"> </w:t>
            </w:r>
          </w:p>
        </w:tc>
      </w:tr>
      <w:tr w:rsidR="009B189C" w:rsidRPr="007A6B32" w14:paraId="68C3954B" w14:textId="77777777" w:rsidTr="002A4AEE">
        <w:trPr>
          <w:trHeight w:val="397"/>
          <w:jc w:val="center"/>
        </w:trPr>
        <w:tc>
          <w:tcPr>
            <w:tcW w:w="2126" w:type="dxa"/>
            <w:tcMar>
              <w:top w:w="100" w:type="dxa"/>
              <w:left w:w="100" w:type="dxa"/>
              <w:bottom w:w="100" w:type="dxa"/>
              <w:right w:w="100" w:type="dxa"/>
            </w:tcMar>
          </w:tcPr>
          <w:p w14:paraId="56750DB4" w14:textId="77777777" w:rsidR="009B189C" w:rsidRPr="00A32EFF" w:rsidRDefault="009B189C" w:rsidP="002A4AEE">
            <w:pPr>
              <w:spacing w:line="240" w:lineRule="auto"/>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639B8F3A" w14:textId="77777777" w:rsidR="009B189C" w:rsidRPr="007A6B32" w:rsidRDefault="009B189C" w:rsidP="002A4AEE">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61D296EF" w14:textId="77777777" w:rsidR="009B189C" w:rsidRPr="007A6B32" w:rsidRDefault="009B189C" w:rsidP="002A4AEE">
            <w:pPr>
              <w:spacing w:line="240" w:lineRule="auto"/>
              <w:jc w:val="center"/>
              <w:rPr>
                <w:sz w:val="18"/>
                <w:szCs w:val="18"/>
              </w:rPr>
            </w:pPr>
            <w:r>
              <w:rPr>
                <w:sz w:val="18"/>
                <w:szCs w:val="18"/>
              </w:rPr>
              <w:t xml:space="preserve">Menej ako </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66F53A1F" w14:textId="77777777" w:rsidR="009B189C" w:rsidRPr="007A6B32" w:rsidRDefault="009B189C" w:rsidP="002A4AEE">
            <w:pPr>
              <w:spacing w:line="240" w:lineRule="auto"/>
              <w:ind w:left="29"/>
              <w:rPr>
                <w:color w:val="000000"/>
                <w:sz w:val="18"/>
                <w:szCs w:val="18"/>
              </w:rPr>
            </w:pPr>
            <w:r>
              <w:rPr>
                <w:color w:val="000000"/>
                <w:sz w:val="18"/>
                <w:szCs w:val="18"/>
              </w:rPr>
              <w:t xml:space="preserve">Minimálne zastúpenie nepôvodných druhov rýb. </w:t>
            </w:r>
          </w:p>
        </w:tc>
      </w:tr>
    </w:tbl>
    <w:p w14:paraId="0C479CA7" w14:textId="77777777" w:rsidR="009B189C" w:rsidRDefault="009B189C" w:rsidP="00EC21C0">
      <w:pPr>
        <w:spacing w:line="240" w:lineRule="auto"/>
        <w:ind w:left="-284"/>
        <w:rPr>
          <w:color w:val="000000"/>
          <w:szCs w:val="24"/>
        </w:rPr>
      </w:pPr>
    </w:p>
    <w:sectPr w:rsidR="009B1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7A0A"/>
    <w:rsid w:val="000413C7"/>
    <w:rsid w:val="0004485D"/>
    <w:rsid w:val="000508B8"/>
    <w:rsid w:val="00051F93"/>
    <w:rsid w:val="00054B8D"/>
    <w:rsid w:val="000560C8"/>
    <w:rsid w:val="000A56C8"/>
    <w:rsid w:val="000B16EF"/>
    <w:rsid w:val="000D0D11"/>
    <w:rsid w:val="000D0ECA"/>
    <w:rsid w:val="000E05DA"/>
    <w:rsid w:val="000E431E"/>
    <w:rsid w:val="00140708"/>
    <w:rsid w:val="001413B3"/>
    <w:rsid w:val="00156288"/>
    <w:rsid w:val="00160A61"/>
    <w:rsid w:val="00167463"/>
    <w:rsid w:val="00171BEC"/>
    <w:rsid w:val="001B2605"/>
    <w:rsid w:val="001C5006"/>
    <w:rsid w:val="001C7BB9"/>
    <w:rsid w:val="001D06D6"/>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300E5B"/>
    <w:rsid w:val="00345653"/>
    <w:rsid w:val="003509FA"/>
    <w:rsid w:val="00355653"/>
    <w:rsid w:val="003A0FB7"/>
    <w:rsid w:val="003A6881"/>
    <w:rsid w:val="003B1B90"/>
    <w:rsid w:val="003E7F90"/>
    <w:rsid w:val="00434D87"/>
    <w:rsid w:val="0046069D"/>
    <w:rsid w:val="00464CB1"/>
    <w:rsid w:val="004800D8"/>
    <w:rsid w:val="004B5E26"/>
    <w:rsid w:val="004D7177"/>
    <w:rsid w:val="004F7434"/>
    <w:rsid w:val="005067B9"/>
    <w:rsid w:val="00510541"/>
    <w:rsid w:val="00510714"/>
    <w:rsid w:val="00562BB2"/>
    <w:rsid w:val="00575B96"/>
    <w:rsid w:val="005911F7"/>
    <w:rsid w:val="00595D5D"/>
    <w:rsid w:val="005A4102"/>
    <w:rsid w:val="005C00AB"/>
    <w:rsid w:val="005D3AC6"/>
    <w:rsid w:val="005D665F"/>
    <w:rsid w:val="0060488B"/>
    <w:rsid w:val="00605FBF"/>
    <w:rsid w:val="00653E40"/>
    <w:rsid w:val="0065652C"/>
    <w:rsid w:val="00671489"/>
    <w:rsid w:val="006755D9"/>
    <w:rsid w:val="006B6B37"/>
    <w:rsid w:val="006E3F5B"/>
    <w:rsid w:val="006E7496"/>
    <w:rsid w:val="0073536D"/>
    <w:rsid w:val="007464F7"/>
    <w:rsid w:val="00757867"/>
    <w:rsid w:val="00770F48"/>
    <w:rsid w:val="0077725B"/>
    <w:rsid w:val="0078073B"/>
    <w:rsid w:val="007A27E8"/>
    <w:rsid w:val="007B0099"/>
    <w:rsid w:val="007C19AA"/>
    <w:rsid w:val="007F2F16"/>
    <w:rsid w:val="007F5C95"/>
    <w:rsid w:val="00831011"/>
    <w:rsid w:val="00840C6F"/>
    <w:rsid w:val="0086292D"/>
    <w:rsid w:val="008A4449"/>
    <w:rsid w:val="008E1F7E"/>
    <w:rsid w:val="008F2860"/>
    <w:rsid w:val="00922C48"/>
    <w:rsid w:val="0092337B"/>
    <w:rsid w:val="00931E7A"/>
    <w:rsid w:val="00957BF7"/>
    <w:rsid w:val="009667BE"/>
    <w:rsid w:val="00974B00"/>
    <w:rsid w:val="00980A1D"/>
    <w:rsid w:val="00981218"/>
    <w:rsid w:val="009A33B6"/>
    <w:rsid w:val="009B189C"/>
    <w:rsid w:val="009C2B5F"/>
    <w:rsid w:val="009C2E0E"/>
    <w:rsid w:val="009C72E3"/>
    <w:rsid w:val="00A31BED"/>
    <w:rsid w:val="00A4157F"/>
    <w:rsid w:val="00A4711A"/>
    <w:rsid w:val="00A6187E"/>
    <w:rsid w:val="00A6528A"/>
    <w:rsid w:val="00A73B2E"/>
    <w:rsid w:val="00AB2A2D"/>
    <w:rsid w:val="00AC3F6B"/>
    <w:rsid w:val="00B1033B"/>
    <w:rsid w:val="00B16F23"/>
    <w:rsid w:val="00B35465"/>
    <w:rsid w:val="00B3663C"/>
    <w:rsid w:val="00B55FDA"/>
    <w:rsid w:val="00BD5758"/>
    <w:rsid w:val="00BD58EA"/>
    <w:rsid w:val="00BF1520"/>
    <w:rsid w:val="00C109F5"/>
    <w:rsid w:val="00C3445E"/>
    <w:rsid w:val="00C5677D"/>
    <w:rsid w:val="00C65C57"/>
    <w:rsid w:val="00C7050D"/>
    <w:rsid w:val="00C9505C"/>
    <w:rsid w:val="00C9571F"/>
    <w:rsid w:val="00CA611F"/>
    <w:rsid w:val="00CB532D"/>
    <w:rsid w:val="00CE335A"/>
    <w:rsid w:val="00D051AA"/>
    <w:rsid w:val="00D20BE7"/>
    <w:rsid w:val="00D25AED"/>
    <w:rsid w:val="00D41E0D"/>
    <w:rsid w:val="00D5756D"/>
    <w:rsid w:val="00D70AAD"/>
    <w:rsid w:val="00D7126C"/>
    <w:rsid w:val="00D76319"/>
    <w:rsid w:val="00D77700"/>
    <w:rsid w:val="00D800D1"/>
    <w:rsid w:val="00D94F05"/>
    <w:rsid w:val="00DC219F"/>
    <w:rsid w:val="00DD1769"/>
    <w:rsid w:val="00DF1DE5"/>
    <w:rsid w:val="00DF2560"/>
    <w:rsid w:val="00DF4B1B"/>
    <w:rsid w:val="00E034D8"/>
    <w:rsid w:val="00E03827"/>
    <w:rsid w:val="00E12B76"/>
    <w:rsid w:val="00E5203E"/>
    <w:rsid w:val="00E52F8B"/>
    <w:rsid w:val="00E64259"/>
    <w:rsid w:val="00E71F26"/>
    <w:rsid w:val="00E7509B"/>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2262</Words>
  <Characters>12900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2023-12-11T12:17:00Z</dcterms:created>
  <dcterms:modified xsi:type="dcterms:W3CDTF">2023-12-11T12:24:00Z</dcterms:modified>
</cp:coreProperties>
</file>