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3B668CFD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85">
        <w:rPr>
          <w:rFonts w:ascii="Times New Roman" w:hAnsi="Times New Roman" w:cs="Times New Roman"/>
          <w:b/>
          <w:sz w:val="24"/>
          <w:szCs w:val="24"/>
        </w:rPr>
        <w:t>SKUEV0399</w:t>
      </w:r>
      <w:r w:rsidR="00761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85">
        <w:rPr>
          <w:rFonts w:ascii="Times New Roman" w:hAnsi="Times New Roman" w:cs="Times New Roman"/>
          <w:b/>
          <w:sz w:val="24"/>
          <w:szCs w:val="24"/>
        </w:rPr>
        <w:t>Bacúšska jelšina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6A3083BE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623AF181" w14:textId="77777777" w:rsidR="00893B66" w:rsidRDefault="00893B66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A9957" w14:textId="10F8A588" w:rsidR="008544F7" w:rsidRPr="00775056" w:rsidRDefault="008544F7" w:rsidP="008544F7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775056">
        <w:rPr>
          <w:b w:val="0"/>
          <w:color w:val="000000"/>
        </w:rPr>
        <w:t>Z</w:t>
      </w:r>
      <w:r w:rsidR="00B85585">
        <w:rPr>
          <w:b w:val="0"/>
          <w:color w:val="000000"/>
        </w:rPr>
        <w:t xml:space="preserve">achovanie </w:t>
      </w:r>
      <w:r w:rsidRPr="00775056">
        <w:rPr>
          <w:b w:val="0"/>
          <w:color w:val="000000"/>
        </w:rPr>
        <w:t xml:space="preserve">stavu </w:t>
      </w:r>
      <w:r>
        <w:rPr>
          <w:color w:val="000000"/>
        </w:rPr>
        <w:t xml:space="preserve">biotopu </w:t>
      </w:r>
      <w:r w:rsidR="0032205F" w:rsidRPr="00C93DDB">
        <w:t>Ls1.4 (*91E0)  Horské jelšové lužné lesy</w:t>
      </w:r>
      <w:r w:rsidR="0032205F" w:rsidRPr="00C93DDB">
        <w:rPr>
          <w:b w:val="0"/>
        </w:rPr>
        <w:t xml:space="preserve">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559"/>
        <w:gridCol w:w="4703"/>
      </w:tblGrid>
      <w:tr w:rsidR="008544F7" w:rsidRPr="0000010E" w14:paraId="417CD252" w14:textId="77777777" w:rsidTr="00C93DDB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6377" w14:textId="77777777"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A34B" w14:textId="77777777"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7700" w14:textId="77777777"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ED21" w14:textId="77777777"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8544F7" w:rsidRPr="0000010E" w14:paraId="1404A309" w14:textId="77777777" w:rsidTr="00C93DDB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6AA1" w14:textId="77777777" w:rsidR="008544F7" w:rsidRPr="00775056" w:rsidRDefault="008544F7" w:rsidP="00623BA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9055" w14:textId="77777777"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F1D0" w14:textId="75580C09" w:rsidR="008544F7" w:rsidRPr="00775056" w:rsidRDefault="008C5773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85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44F7"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5F73" w14:textId="77777777" w:rsidR="008544F7" w:rsidRPr="00775056" w:rsidRDefault="008544F7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8544F7" w:rsidRPr="0000010E" w14:paraId="62A0A525" w14:textId="77777777" w:rsidTr="00C93DDB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EF4519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3A85BB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2932DF" w14:textId="77777777"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9169FC" w14:textId="77777777" w:rsidR="008544F7" w:rsidRPr="00C93DDB" w:rsidRDefault="008544F7" w:rsidP="00623B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3DDB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065758BD" w14:textId="77777777" w:rsidR="0032205F" w:rsidRPr="00C93DDB" w:rsidRDefault="0032205F" w:rsidP="00C93DD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D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Abies alba &lt;5 %, Acer pseudopl atanus, Alnus glutinosa, </w:t>
            </w:r>
            <w:r w:rsidRPr="00C93D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A. incana*</w:t>
            </w:r>
            <w:r w:rsidRPr="00C93D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Fraxinus excelsior, Padus avium, </w:t>
            </w:r>
            <w:r w:rsidRPr="00C93D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 abies</w:t>
            </w:r>
            <w:r w:rsidRPr="00C93D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Salix fragilis, S. purpurea, Sorbus aucuparia, Ulmus glabra.</w:t>
            </w:r>
          </w:p>
          <w:p w14:paraId="6E9B9B45" w14:textId="5FF3EC14" w:rsidR="0032205F" w:rsidRPr="00C93DDB" w:rsidRDefault="0032205F" w:rsidP="00322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DDB">
              <w:rPr>
                <w:rFonts w:ascii="Times New Roman" w:hAnsi="Times New Roman" w:cs="Times New Roman"/>
                <w:sz w:val="18"/>
                <w:szCs w:val="18"/>
              </w:rPr>
              <w:t>*(</w:t>
            </w:r>
            <w:r w:rsidRPr="00C93D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Alnus incana</w:t>
            </w:r>
            <w:r w:rsidRPr="00C93DDB">
              <w:rPr>
                <w:rFonts w:ascii="Times New Roman" w:hAnsi="Times New Roman" w:cs="Times New Roman"/>
                <w:sz w:val="18"/>
                <w:szCs w:val="18"/>
              </w:rPr>
              <w:t xml:space="preserve"> minimálne 30%)</w:t>
            </w:r>
          </w:p>
        </w:tc>
      </w:tr>
      <w:tr w:rsidR="008544F7" w:rsidRPr="0000010E" w14:paraId="7C3D12AA" w14:textId="77777777" w:rsidTr="00C93DDB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EC58AE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12D5B0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9CAFE8" w14:textId="77777777"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15317F" w14:textId="77777777" w:rsidR="008544F7" w:rsidRPr="00C93DDB" w:rsidRDefault="008544F7" w:rsidP="00623BA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3DDB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7018A349" w14:textId="0D4BCC18" w:rsidR="008544F7" w:rsidRPr="00C93DDB" w:rsidRDefault="0032205F" w:rsidP="0032205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D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C93DDB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C93DDB">
              <w:rPr>
                <w:rFonts w:ascii="Times New Roman" w:hAnsi="Times New Roman" w:cs="Times New Roman"/>
              </w:rPr>
              <w:t xml:space="preserve"> </w:t>
            </w:r>
            <w:r w:rsidRPr="00C93D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Anthriscus nitidus, Astrantia major, </w:t>
            </w:r>
            <w:r w:rsidRPr="00C93D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Caltha palustris subsp. laeta</w:t>
            </w:r>
            <w:r w:rsidRPr="00C93D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Calamagrostis villosa, Cardamine amara, </w:t>
            </w:r>
            <w:r w:rsidRPr="00C93D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Chaerophyllum hirsutum</w:t>
            </w:r>
            <w:r w:rsidRPr="00C93D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Chrysosplenium alternifolium, Cicerbita alpina, Cirsium oleraceum, </w:t>
            </w:r>
            <w:r w:rsidRPr="00C93D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Crepis paludosa</w:t>
            </w:r>
            <w:r w:rsidRPr="00C93DDB">
              <w:rPr>
                <w:rFonts w:ascii="Times New Roman" w:hAnsi="Times New Roman" w:cs="Times New Roman"/>
                <w:i/>
                <w:sz w:val="18"/>
                <w:szCs w:val="18"/>
              </w:rPr>
              <w:t>, Doronicum austriacum, Equisetum sylvaticum, Filipendula ulmaria, Geranium phaeum, Knautia maxima, Lysimachia nemorum, Matteuccia struthiopteris, Petasites albus, P. hybridus, Primula elatior, Silene dioica, Stellaria nemorum, Thalictrum aquilegiifolium, Veratrum album</w:t>
            </w:r>
          </w:p>
        </w:tc>
      </w:tr>
      <w:tr w:rsidR="008544F7" w:rsidRPr="0000010E" w14:paraId="5C322581" w14:textId="77777777" w:rsidTr="00C93DDB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01FA5E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EED6AB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AE34E4" w14:textId="77777777"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2FCF58" w14:textId="21B08A43" w:rsidR="008544F7" w:rsidRPr="00775056" w:rsidRDefault="008544F7" w:rsidP="00623B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alochtónnych/inváznych druhov drevín v biotope (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Negundo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aceroides, Robinia pseudoacacia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 sp., Impatiens glandulifera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I.</w:t>
            </w:r>
            <w:r w:rsidR="0032205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parviflora, Heracleum mantegazzianum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544F7" w:rsidRPr="0000010E" w14:paraId="4B679160" w14:textId="77777777" w:rsidTr="00C93DDB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D5AB19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42119168" w14:textId="52121B74" w:rsidR="008544F7" w:rsidRPr="00775056" w:rsidRDefault="008544F7" w:rsidP="00C93DD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C93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042CE1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A955F" w14:textId="77777777"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00812AFE" w14:textId="77777777"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65AFEB4" w14:textId="77777777"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EA3495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02EFFA72" w14:textId="77777777"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544F7" w:rsidRPr="0000010E" w14:paraId="76C6C749" w14:textId="77777777" w:rsidTr="00C93DDB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0DEED" w14:textId="77777777" w:rsidR="008544F7" w:rsidRPr="00C93DDB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D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50CC7" w14:textId="77777777" w:rsidR="008544F7" w:rsidRPr="00C93DDB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D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1098" w14:textId="77777777" w:rsidR="008544F7" w:rsidRPr="00C93DDB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D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1A36A" w14:textId="77777777" w:rsidR="008544F7" w:rsidRPr="00C93DDB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D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5D5C1C37" w14:textId="77777777" w:rsidR="001A2093" w:rsidRDefault="001A2093" w:rsidP="001A2093">
      <w:pPr>
        <w:spacing w:line="240" w:lineRule="auto"/>
        <w:jc w:val="both"/>
        <w:rPr>
          <w:rFonts w:ascii="Times New Roman" w:hAnsi="Times New Roman" w:cs="Times New Roman"/>
        </w:rPr>
      </w:pPr>
    </w:p>
    <w:p w14:paraId="17B5F27A" w14:textId="3282532C" w:rsidR="006E335B" w:rsidRPr="00EF3712" w:rsidRDefault="006E335B" w:rsidP="006E335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variegata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18"/>
        <w:gridCol w:w="1701"/>
        <w:gridCol w:w="4177"/>
      </w:tblGrid>
      <w:tr w:rsidR="006E335B" w:rsidRPr="0000010E" w14:paraId="25F885D5" w14:textId="77777777" w:rsidTr="0032205F">
        <w:trPr>
          <w:trHeight w:val="8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258" w14:textId="77777777" w:rsidR="006E335B" w:rsidRPr="006E335B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E3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383" w14:textId="77777777" w:rsidR="006E335B" w:rsidRPr="006E335B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E3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E64" w14:textId="77777777" w:rsidR="006E335B" w:rsidRPr="006E335B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E3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5D6" w14:textId="77777777" w:rsidR="006E335B" w:rsidRPr="006E335B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E3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E335B" w:rsidRPr="0000010E" w14:paraId="64F9FA6A" w14:textId="77777777" w:rsidTr="0032205F">
        <w:trPr>
          <w:trHeight w:val="8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638" w14:textId="77777777"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404" w14:textId="77777777" w:rsidR="006E335B" w:rsidRPr="00EF3712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6D7" w14:textId="2BAFE922" w:rsidR="006E335B" w:rsidRPr="00EF3712" w:rsidRDefault="000D3157" w:rsidP="000D31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Viac ako </w:t>
            </w:r>
            <w:r w:rsidR="006E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6E335B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AB2" w14:textId="151739DF" w:rsidR="006E335B" w:rsidRPr="00EF3712" w:rsidRDefault="006E335B" w:rsidP="000D31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populácie v území </w:t>
            </w:r>
            <w:r w:rsidR="000D3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="000D3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 (aktuál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y údaj / z SDF), bude potrebný komplexnejší monitoring populácie druhu.</w:t>
            </w:r>
          </w:p>
        </w:tc>
      </w:tr>
      <w:tr w:rsidR="006E335B" w:rsidRPr="0000010E" w14:paraId="54A96E05" w14:textId="77777777" w:rsidTr="0032205F">
        <w:trPr>
          <w:trHeight w:val="9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A6D9" w14:textId="77777777"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B3B8" w14:textId="77777777" w:rsidR="006E335B" w:rsidRPr="00EF3712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4800" w14:textId="08F30C92" w:rsidR="006E335B" w:rsidRPr="00C93DDB" w:rsidRDefault="00B13218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3DD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FDA5" w14:textId="77777777"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6E335B" w:rsidRPr="0000010E" w14:paraId="1A9855E4" w14:textId="77777777" w:rsidTr="00C93DDB">
        <w:trPr>
          <w:trHeight w:val="13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FCF" w14:textId="77777777"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173" w14:textId="77777777" w:rsidR="006E335B" w:rsidRPr="00EF3712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391" w14:textId="77777777" w:rsidR="006E335B" w:rsidRPr="00EF3712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14B" w14:textId="77777777"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plochy v alúviu, niekedy aj v koľajách na cestách a mlákach.</w:t>
            </w:r>
          </w:p>
        </w:tc>
      </w:tr>
    </w:tbl>
    <w:p w14:paraId="6123D5C8" w14:textId="77777777" w:rsidR="006E335B" w:rsidRPr="00EF3712" w:rsidRDefault="006E335B" w:rsidP="006E335B">
      <w:pPr>
        <w:pStyle w:val="Zkladntext"/>
        <w:widowControl w:val="0"/>
        <w:spacing w:after="120"/>
        <w:ind w:left="360"/>
        <w:jc w:val="both"/>
        <w:rPr>
          <w:b w:val="0"/>
          <w:i/>
          <w:color w:val="000000"/>
        </w:rPr>
      </w:pPr>
    </w:p>
    <w:p w14:paraId="79D75E93" w14:textId="77777777" w:rsidR="006E335B" w:rsidRPr="00652926" w:rsidRDefault="006E335B" w:rsidP="006E335B">
      <w:pPr>
        <w:pStyle w:val="Zkladntext"/>
        <w:widowControl w:val="0"/>
        <w:spacing w:after="120"/>
        <w:ind w:left="360"/>
        <w:jc w:val="both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546"/>
        <w:gridCol w:w="1706"/>
        <w:gridCol w:w="3544"/>
      </w:tblGrid>
      <w:tr w:rsidR="006E335B" w:rsidRPr="00652926" w14:paraId="4C0168DA" w14:textId="77777777" w:rsidTr="0032205F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42B81" w14:textId="77777777" w:rsidR="006E335B" w:rsidRPr="003F45CC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5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5E8AC" w14:textId="77777777" w:rsidR="006E335B" w:rsidRPr="003F45CC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5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C1581" w14:textId="77777777" w:rsidR="006E335B" w:rsidRPr="003F45CC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5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1DBFE" w14:textId="77777777" w:rsidR="006E335B" w:rsidRPr="003F45CC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5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6E335B" w:rsidRPr="00652926" w14:paraId="1FB1AA28" w14:textId="77777777" w:rsidTr="0032205F">
        <w:trPr>
          <w:trHeight w:val="43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05B45" w14:textId="77777777" w:rsidR="006E335B" w:rsidRPr="00652926" w:rsidRDefault="006E335B" w:rsidP="00623B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 xml:space="preserve">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A4B5F" w14:textId="77777777" w:rsidR="006E335B" w:rsidRPr="00652926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A452A" w14:textId="5CF4CA6C" w:rsidR="006E335B" w:rsidRPr="00652926" w:rsidRDefault="006E335B" w:rsidP="000D31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Viac ako </w:t>
            </w:r>
            <w:r w:rsidR="000D3157">
              <w:rPr>
                <w:rFonts w:ascii="Times New Roman" w:hAnsi="Times New Roman" w:cs="Times New Roman"/>
                <w:sz w:val="18"/>
                <w:szCs w:val="18"/>
              </w:rPr>
              <w:t>1 zaznamenaný pobytový znak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1 km úseku toku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C4B4E" w14:textId="4768E4B1" w:rsidR="006E335B" w:rsidRPr="00652926" w:rsidRDefault="006E335B" w:rsidP="000D3157">
            <w:pPr>
              <w:pStyle w:val="PredformtovanHTM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 w:rsidR="003F45C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0D315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jedinca</w:t>
            </w: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6E335B" w:rsidRPr="00652926" w14:paraId="472C7670" w14:textId="77777777" w:rsidTr="0032205F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98A8F" w14:textId="44264648" w:rsidR="006E335B" w:rsidRPr="00652926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  <w:r w:rsidR="00C93DDB">
              <w:rPr>
                <w:rFonts w:ascii="Times New Roman" w:hAnsi="Times New Roman" w:cs="Times New Roman"/>
                <w:sz w:val="18"/>
                <w:szCs w:val="18"/>
              </w:rPr>
              <w:t xml:space="preserve"> - potravný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57B79" w14:textId="7D6030B3" w:rsidR="006E335B" w:rsidRPr="00652926" w:rsidRDefault="00C93DD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 (potravný biotop)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9D9B" w14:textId="72172BFE" w:rsidR="006E335B" w:rsidRPr="00652926" w:rsidRDefault="00C93DD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13C8B" w14:textId="70899EF2" w:rsidR="006E335B" w:rsidRPr="00652926" w:rsidRDefault="006E335B" w:rsidP="00C93DD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 xml:space="preserve">Lokalita poskytuje </w:t>
            </w:r>
            <w:r w:rsidR="00C93DDB">
              <w:rPr>
                <w:rFonts w:ascii="Times New Roman" w:hAnsi="Times New Roman" w:cs="Times New Roman"/>
                <w:sz w:val="18"/>
                <w:szCs w:val="18"/>
              </w:rPr>
              <w:t>druhu potravný biotop (príležitostný lov obojživelníkov), akoľko hlavný výskyt druhu je v toku Hrona, ktorý je mimo tohto UEV.</w:t>
            </w:r>
            <w:bookmarkStart w:id="0" w:name="_GoBack"/>
            <w:bookmarkEnd w:id="0"/>
          </w:p>
        </w:tc>
      </w:tr>
      <w:tr w:rsidR="006E335B" w:rsidRPr="00652926" w14:paraId="330EC77D" w14:textId="77777777" w:rsidTr="0032205F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8DA4" w14:textId="77777777" w:rsidR="006E335B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9616" w14:textId="77777777" w:rsidR="006E335B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084BD" w14:textId="77777777" w:rsidR="006E335B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09B8" w14:textId="77777777" w:rsidR="006E335B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6E335B" w:rsidRPr="00652926" w14:paraId="6CA305CA" w14:textId="77777777" w:rsidTr="0032205F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7D29C" w14:textId="77777777" w:rsidR="006E335B" w:rsidRPr="00652926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A076" w14:textId="77777777" w:rsidR="006E335B" w:rsidRPr="00652926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9706" w14:textId="77777777" w:rsidR="006E335B" w:rsidRPr="00652926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597F3" w14:textId="363D42B9" w:rsidR="006E335B" w:rsidRPr="00652926" w:rsidRDefault="006E335B" w:rsidP="00623B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 zmysle výsledkov sledovani stavu kvality vody v</w:t>
            </w:r>
            <w:r w:rsidR="00C93DDB">
              <w:rPr>
                <w:rFonts w:ascii="Times New Roman" w:hAnsi="Times New Roman" w:cs="Times New Roman"/>
                <w:sz w:val="18"/>
                <w:szCs w:val="18"/>
              </w:rPr>
              <w:t> toku Hrona (mimo územia UEV)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6" w:history="1">
              <w:r w:rsidRPr="007E136C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521FF48" w14:textId="77777777" w:rsidR="006E335B" w:rsidRDefault="006E335B" w:rsidP="006E335B">
      <w:pPr>
        <w:pStyle w:val="Zkladntext"/>
        <w:widowControl w:val="0"/>
        <w:spacing w:after="120"/>
        <w:jc w:val="both"/>
        <w:rPr>
          <w:b w:val="0"/>
        </w:rPr>
      </w:pPr>
    </w:p>
    <w:sectPr w:rsidR="006E335B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BE07B5" w16cex:dateUtc="2023-12-19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5E321E" w16cid:durableId="4BB8F514"/>
  <w16cid:commentId w16cid:paraId="22BF405E" w16cid:durableId="2A6AA50B"/>
  <w16cid:commentId w16cid:paraId="086221A2" w16cid:durableId="00E06D06"/>
  <w16cid:commentId w16cid:paraId="1B3A0A86" w16cid:durableId="61BE07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96F74"/>
    <w:rsid w:val="000A0F1F"/>
    <w:rsid w:val="000A1CDD"/>
    <w:rsid w:val="000A53DA"/>
    <w:rsid w:val="000B494B"/>
    <w:rsid w:val="000C35EE"/>
    <w:rsid w:val="000D3157"/>
    <w:rsid w:val="000D3ACB"/>
    <w:rsid w:val="000D4C17"/>
    <w:rsid w:val="000D559F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A2093"/>
    <w:rsid w:val="001B4A5C"/>
    <w:rsid w:val="001C4290"/>
    <w:rsid w:val="001D51FF"/>
    <w:rsid w:val="001E128A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F0EBF"/>
    <w:rsid w:val="002F2ED0"/>
    <w:rsid w:val="002F7BBC"/>
    <w:rsid w:val="003033C2"/>
    <w:rsid w:val="0031424B"/>
    <w:rsid w:val="00320662"/>
    <w:rsid w:val="0032205F"/>
    <w:rsid w:val="003302C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A3884"/>
    <w:rsid w:val="003B34B6"/>
    <w:rsid w:val="003B552D"/>
    <w:rsid w:val="003B57FB"/>
    <w:rsid w:val="003C2090"/>
    <w:rsid w:val="003C2459"/>
    <w:rsid w:val="003D08ED"/>
    <w:rsid w:val="003D3424"/>
    <w:rsid w:val="003F45CC"/>
    <w:rsid w:val="003F5557"/>
    <w:rsid w:val="003F71B7"/>
    <w:rsid w:val="0040002C"/>
    <w:rsid w:val="00402048"/>
    <w:rsid w:val="00403089"/>
    <w:rsid w:val="00410FDB"/>
    <w:rsid w:val="004234CB"/>
    <w:rsid w:val="00437A79"/>
    <w:rsid w:val="00437F58"/>
    <w:rsid w:val="004502A3"/>
    <w:rsid w:val="00455620"/>
    <w:rsid w:val="00460393"/>
    <w:rsid w:val="00463702"/>
    <w:rsid w:val="0046690B"/>
    <w:rsid w:val="0047109F"/>
    <w:rsid w:val="004767B7"/>
    <w:rsid w:val="00485650"/>
    <w:rsid w:val="0048574A"/>
    <w:rsid w:val="00493071"/>
    <w:rsid w:val="00495076"/>
    <w:rsid w:val="004969DA"/>
    <w:rsid w:val="00496DC2"/>
    <w:rsid w:val="004B4835"/>
    <w:rsid w:val="004B59B0"/>
    <w:rsid w:val="004C1BD8"/>
    <w:rsid w:val="004C3BFA"/>
    <w:rsid w:val="004C5D19"/>
    <w:rsid w:val="004E6C10"/>
    <w:rsid w:val="004F232E"/>
    <w:rsid w:val="004F6CBA"/>
    <w:rsid w:val="005007DD"/>
    <w:rsid w:val="00506BD5"/>
    <w:rsid w:val="00552897"/>
    <w:rsid w:val="00553C56"/>
    <w:rsid w:val="00554900"/>
    <w:rsid w:val="00555FDD"/>
    <w:rsid w:val="00567493"/>
    <w:rsid w:val="00576006"/>
    <w:rsid w:val="00582857"/>
    <w:rsid w:val="00583606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613454"/>
    <w:rsid w:val="00622104"/>
    <w:rsid w:val="00623BA6"/>
    <w:rsid w:val="00626A09"/>
    <w:rsid w:val="0062795D"/>
    <w:rsid w:val="0064147B"/>
    <w:rsid w:val="00645F5F"/>
    <w:rsid w:val="00651377"/>
    <w:rsid w:val="00652933"/>
    <w:rsid w:val="00653B45"/>
    <w:rsid w:val="0066146B"/>
    <w:rsid w:val="00686099"/>
    <w:rsid w:val="0069367E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6E335B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1C44"/>
    <w:rsid w:val="007657C5"/>
    <w:rsid w:val="00767DD6"/>
    <w:rsid w:val="00775056"/>
    <w:rsid w:val="007823C5"/>
    <w:rsid w:val="00791978"/>
    <w:rsid w:val="007920A8"/>
    <w:rsid w:val="00796656"/>
    <w:rsid w:val="00797552"/>
    <w:rsid w:val="007B1022"/>
    <w:rsid w:val="007B1AD9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544F7"/>
    <w:rsid w:val="008606FF"/>
    <w:rsid w:val="00867CB1"/>
    <w:rsid w:val="00872553"/>
    <w:rsid w:val="008752DD"/>
    <w:rsid w:val="0088133B"/>
    <w:rsid w:val="00891E37"/>
    <w:rsid w:val="00891FD6"/>
    <w:rsid w:val="00893409"/>
    <w:rsid w:val="00893B66"/>
    <w:rsid w:val="00897AF0"/>
    <w:rsid w:val="008A14E3"/>
    <w:rsid w:val="008A37C1"/>
    <w:rsid w:val="008B115B"/>
    <w:rsid w:val="008B352B"/>
    <w:rsid w:val="008C1F5A"/>
    <w:rsid w:val="008C5773"/>
    <w:rsid w:val="008C7D99"/>
    <w:rsid w:val="008E014A"/>
    <w:rsid w:val="008E1527"/>
    <w:rsid w:val="008E2425"/>
    <w:rsid w:val="008E7005"/>
    <w:rsid w:val="008F0D59"/>
    <w:rsid w:val="008F1F41"/>
    <w:rsid w:val="00912626"/>
    <w:rsid w:val="00920153"/>
    <w:rsid w:val="00945B99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A00FA1"/>
    <w:rsid w:val="00A1487C"/>
    <w:rsid w:val="00A156DD"/>
    <w:rsid w:val="00A20785"/>
    <w:rsid w:val="00A22209"/>
    <w:rsid w:val="00A455BC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3218"/>
    <w:rsid w:val="00B14339"/>
    <w:rsid w:val="00B14E7C"/>
    <w:rsid w:val="00B26BD2"/>
    <w:rsid w:val="00B31B3C"/>
    <w:rsid w:val="00B47CC0"/>
    <w:rsid w:val="00B668A7"/>
    <w:rsid w:val="00B83296"/>
    <w:rsid w:val="00B85585"/>
    <w:rsid w:val="00B856A2"/>
    <w:rsid w:val="00B960E4"/>
    <w:rsid w:val="00BA15D7"/>
    <w:rsid w:val="00BA1D05"/>
    <w:rsid w:val="00BB3162"/>
    <w:rsid w:val="00BB4BFD"/>
    <w:rsid w:val="00BB6404"/>
    <w:rsid w:val="00BC0779"/>
    <w:rsid w:val="00BC1AA8"/>
    <w:rsid w:val="00BC2408"/>
    <w:rsid w:val="00BC3D9D"/>
    <w:rsid w:val="00BC7E07"/>
    <w:rsid w:val="00BD1A0F"/>
    <w:rsid w:val="00BD6C68"/>
    <w:rsid w:val="00BE3E35"/>
    <w:rsid w:val="00BF167C"/>
    <w:rsid w:val="00C01360"/>
    <w:rsid w:val="00C04BBF"/>
    <w:rsid w:val="00C20D29"/>
    <w:rsid w:val="00C31382"/>
    <w:rsid w:val="00C329BB"/>
    <w:rsid w:val="00C36ADC"/>
    <w:rsid w:val="00C37522"/>
    <w:rsid w:val="00C40FB0"/>
    <w:rsid w:val="00C41BF5"/>
    <w:rsid w:val="00C448C0"/>
    <w:rsid w:val="00C5187F"/>
    <w:rsid w:val="00C5204D"/>
    <w:rsid w:val="00C60C78"/>
    <w:rsid w:val="00C64382"/>
    <w:rsid w:val="00C76BD3"/>
    <w:rsid w:val="00C76ED1"/>
    <w:rsid w:val="00C80345"/>
    <w:rsid w:val="00C80ABC"/>
    <w:rsid w:val="00C82B3E"/>
    <w:rsid w:val="00C93DDB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12510"/>
    <w:rsid w:val="00D232DC"/>
    <w:rsid w:val="00D33C1D"/>
    <w:rsid w:val="00D3463D"/>
    <w:rsid w:val="00D42108"/>
    <w:rsid w:val="00D477C1"/>
    <w:rsid w:val="00D60FD5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6B9E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0276"/>
    <w:rsid w:val="00EE7C7C"/>
    <w:rsid w:val="00F031B8"/>
    <w:rsid w:val="00F1313D"/>
    <w:rsid w:val="00F133CE"/>
    <w:rsid w:val="00F17982"/>
    <w:rsid w:val="00F3116E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0A8A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mu.sk/sk/?page=1&amp;id=kvalita_povrchovych_vod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E463-7F98-4CF0-8114-9745962B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cp:lastPrinted>2023-01-24T08:47:00Z</cp:lastPrinted>
  <dcterms:created xsi:type="dcterms:W3CDTF">2023-12-20T10:44:00Z</dcterms:created>
  <dcterms:modified xsi:type="dcterms:W3CDTF">2023-12-20T10:48:00Z</dcterms:modified>
</cp:coreProperties>
</file>