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1D6A88">
        <w:rPr>
          <w:rFonts w:ascii="Times New Roman" w:hAnsi="Times New Roman" w:cs="Times New Roman"/>
          <w:b/>
          <w:sz w:val="24"/>
          <w:szCs w:val="24"/>
        </w:rPr>
        <w:t>392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A88">
        <w:rPr>
          <w:rFonts w:ascii="Times New Roman" w:hAnsi="Times New Roman" w:cs="Times New Roman"/>
          <w:b/>
          <w:sz w:val="24"/>
          <w:szCs w:val="24"/>
        </w:rPr>
        <w:t>Brezovská stráň</w:t>
      </w:r>
    </w:p>
    <w:p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:rsidR="002E71EF" w:rsidRDefault="002E71EF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790" w:rsidRDefault="00665790" w:rsidP="00665790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FA18DF">
        <w:rPr>
          <w:b w:val="0"/>
          <w:color w:val="000000"/>
        </w:rPr>
        <w:t xml:space="preserve">Zachovanie stavu </w:t>
      </w:r>
      <w:r w:rsidRPr="00FA18DF">
        <w:rPr>
          <w:color w:val="000000"/>
        </w:rPr>
        <w:t>biotopu</w:t>
      </w:r>
      <w:r>
        <w:rPr>
          <w:color w:val="000000"/>
        </w:rPr>
        <w:t xml:space="preserve"> Ls3.1</w:t>
      </w:r>
      <w:r w:rsidRPr="00FA18DF">
        <w:rPr>
          <w:color w:val="000000"/>
        </w:rPr>
        <w:t xml:space="preserve"> </w:t>
      </w:r>
      <w:r w:rsidRPr="00FA18DF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91H</w:t>
      </w:r>
      <w:r w:rsidRPr="00FA18DF">
        <w:rPr>
          <w:color w:val="000000"/>
          <w:lang w:eastAsia="sk-SK"/>
        </w:rPr>
        <w:t>0</w:t>
      </w:r>
      <w:r w:rsidRPr="00715E45">
        <w:rPr>
          <w:color w:val="000000"/>
          <w:lang w:eastAsia="sk-SK"/>
        </w:rPr>
        <w:t>*</w:t>
      </w:r>
      <w:r w:rsidRPr="00FA18DF">
        <w:rPr>
          <w:bCs w:val="0"/>
          <w:color w:val="000000"/>
          <w:shd w:val="clear" w:color="auto" w:fill="FFFFFF"/>
        </w:rPr>
        <w:t xml:space="preserve">) </w:t>
      </w:r>
      <w:r>
        <w:t xml:space="preserve">Teplomilné panónske dubové </w:t>
      </w:r>
      <w:r w:rsidRPr="00FA18DF">
        <w:t>lesy</w:t>
      </w:r>
      <w:r w:rsidRPr="00FA18DF">
        <w:rPr>
          <w:b w:val="0"/>
          <w:color w:val="000000"/>
        </w:rPr>
        <w:t xml:space="preserve">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512"/>
        <w:gridCol w:w="1303"/>
        <w:gridCol w:w="1568"/>
        <w:gridCol w:w="3840"/>
      </w:tblGrid>
      <w:tr w:rsidR="00665790" w:rsidRPr="00870D1F" w:rsidTr="007B41E3">
        <w:trPr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65790" w:rsidRPr="00870D1F" w:rsidTr="007B41E3">
        <w:trPr>
          <w:trHeight w:val="34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9A05D9" w:rsidP="0073231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169,3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Dosiahnuť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výmery biotopu.</w:t>
            </w:r>
          </w:p>
        </w:tc>
      </w:tr>
      <w:tr w:rsidR="00665790" w:rsidRPr="00870D1F" w:rsidTr="007B41E3">
        <w:trPr>
          <w:trHeight w:val="179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665790" w:rsidRPr="00870D1F" w:rsidRDefault="00665790" w:rsidP="007B41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 .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A.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tataricum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C.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mahaleb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Cornus</w:t>
            </w:r>
            <w:proofErr w:type="spellEnd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mas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&lt;10%,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F.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ornus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Pinus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sylvestris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&lt;10%,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Q. 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*</w:t>
            </w:r>
          </w:p>
          <w:p w:rsidR="00665790" w:rsidRPr="00870D1F" w:rsidRDefault="00665790" w:rsidP="007B41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 Q. 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pubescens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 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Q. 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robur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leavis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U.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Viburnum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lantana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</w:p>
          <w:p w:rsidR="00665790" w:rsidRPr="00870D1F" w:rsidRDefault="00665790" w:rsidP="007B41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pubescens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a/alebo 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Quercus</w:t>
            </w:r>
            <w:proofErr w:type="spellEnd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petraea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30%)</w:t>
            </w:r>
          </w:p>
          <w:p w:rsidR="00665790" w:rsidRPr="00870D1F" w:rsidRDefault="00665790" w:rsidP="007B41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665790" w:rsidRPr="00870D1F" w:rsidTr="007B41E3">
        <w:trPr>
          <w:trHeight w:val="173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665790" w:rsidRPr="00870D1F" w:rsidRDefault="00665790" w:rsidP="007B41E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Brachypodium</w:t>
            </w:r>
            <w:proofErr w:type="spellEnd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pinnatum</w:t>
            </w:r>
            <w:proofErr w:type="spellEnd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humilis</w:t>
            </w:r>
            <w:proofErr w:type="spellEnd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C.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michelii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Clematis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recta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Dictamnus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albus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Feastuca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pallens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F. 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pseudodalmatica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Galium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glaucum,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Geranium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sanguineum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Inula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hirta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Lithospermum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purpurocaeruleum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uniflora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Melitis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melissophyllum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Sesleria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albicans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Silene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nemoralis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Stachys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recta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Tithymalus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epithymoides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Veronica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teucrium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Vincetoxicum</w:t>
            </w:r>
            <w:proofErr w:type="spellEnd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hirundinaria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Viola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hirta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665790" w:rsidRPr="00870D1F" w:rsidTr="007B41E3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</w:t>
            </w:r>
            <w:r w:rsidR="007B0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7B0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5790" w:rsidRPr="00870D1F" w:rsidRDefault="00665790" w:rsidP="007B41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sp.,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Solidago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giganthea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B0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665790" w:rsidRPr="00870D1F" w:rsidTr="007B41E3">
        <w:trPr>
          <w:trHeight w:val="114"/>
          <w:jc w:val="center"/>
        </w:trPr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="007B0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cm)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767D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5790" w:rsidRPr="00870D1F" w:rsidRDefault="00665790" w:rsidP="007B4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:rsidR="00665790" w:rsidRPr="00870D1F" w:rsidRDefault="00665790" w:rsidP="007B41E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75056" w:rsidRDefault="00775056" w:rsidP="00354686">
      <w:pPr>
        <w:pStyle w:val="Zkladntext"/>
        <w:widowControl w:val="0"/>
        <w:jc w:val="both"/>
        <w:rPr>
          <w:b w:val="0"/>
        </w:rPr>
      </w:pPr>
    </w:p>
    <w:p w:rsidR="009A05D9" w:rsidRPr="00B75B99" w:rsidRDefault="009A05D9" w:rsidP="009A05D9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Pr="00B75B99">
        <w:rPr>
          <w:b w:val="0"/>
          <w:color w:val="000000"/>
        </w:rPr>
        <w:t>stavu biotopu</w:t>
      </w:r>
      <w:r w:rsidRPr="00B75B99">
        <w:rPr>
          <w:color w:val="000000"/>
        </w:rPr>
        <w:t xml:space="preserve"> Ls3.4 </w:t>
      </w:r>
      <w:r w:rsidRPr="00B75B99">
        <w:rPr>
          <w:bCs w:val="0"/>
          <w:color w:val="000000"/>
          <w:shd w:val="clear" w:color="auto" w:fill="FFFFFF"/>
        </w:rPr>
        <w:t>(</w:t>
      </w:r>
      <w:r w:rsidRPr="00B75B99">
        <w:rPr>
          <w:color w:val="000000"/>
          <w:lang w:eastAsia="sk-SK"/>
        </w:rPr>
        <w:t>91M0</w:t>
      </w:r>
      <w:r w:rsidRPr="00B75B99">
        <w:rPr>
          <w:bCs w:val="0"/>
          <w:color w:val="000000"/>
          <w:shd w:val="clear" w:color="auto" w:fill="FFFFFF"/>
        </w:rPr>
        <w:t xml:space="preserve">) Panónsko-balkánske cerové lesy </w:t>
      </w:r>
      <w:r w:rsidRPr="00B75B99">
        <w:rPr>
          <w:b w:val="0"/>
          <w:color w:val="000000"/>
        </w:rPr>
        <w:t>za splnenia nasledovných atribútov</w:t>
      </w:r>
      <w:r w:rsidRPr="00B75B99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408"/>
        <w:gridCol w:w="1316"/>
        <w:gridCol w:w="1568"/>
        <w:gridCol w:w="3990"/>
      </w:tblGrid>
      <w:tr w:rsidR="009A05D9" w:rsidRPr="00B75B99" w:rsidTr="000E3C64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9A05D9" w:rsidRPr="00B75B99" w:rsidTr="000E3C64">
        <w:trPr>
          <w:trHeight w:val="527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u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držanie výmery biotopu v ÚEV.</w:t>
            </w:r>
          </w:p>
        </w:tc>
      </w:tr>
      <w:tr w:rsidR="009A05D9" w:rsidRPr="00B75B99" w:rsidTr="000E3C64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:rsidR="009A05D9" w:rsidRPr="00B75B99" w:rsidRDefault="009A05D9" w:rsidP="000E3C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9A05D9" w:rsidRPr="00B75B99" w:rsidRDefault="009A05D9" w:rsidP="000E3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A. 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 A. 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tataricum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  </w:t>
            </w:r>
            <w:proofErr w:type="spellStart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Q. </w:t>
            </w:r>
            <w:proofErr w:type="spellStart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proofErr w:type="spellEnd"/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Q. 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T.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laevis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U. 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A05D9" w:rsidRPr="00B75B99" w:rsidRDefault="009A05D9" w:rsidP="000E3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Prunus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spinosa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Swida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sanguinea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</w:p>
          <w:p w:rsidR="009A05D9" w:rsidRPr="00B75B99" w:rsidRDefault="009A05D9" w:rsidP="000E3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%,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všetky duby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spolu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:rsidR="009A05D9" w:rsidRPr="00B75B99" w:rsidRDefault="009A05D9" w:rsidP="000E3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05D9" w:rsidRPr="00B75B99" w:rsidRDefault="009A05D9" w:rsidP="000E3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9A05D9" w:rsidRPr="00B75B99" w:rsidTr="000E3C64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9A05D9" w:rsidRPr="00B75B99" w:rsidRDefault="009A05D9" w:rsidP="000E3C64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montana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Lathyrus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niger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Lembotropis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nigricans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Luzula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luzuloides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Lychnis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coronaria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picta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Melittis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melissophylum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Potentila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Primula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Pulmonaria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murini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Serratula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tinctoria,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Vicia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cassubica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Veronica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officinalis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Waldsteinia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geoides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 </w:t>
            </w:r>
          </w:p>
        </w:tc>
      </w:tr>
      <w:tr w:rsidR="009A05D9" w:rsidRPr="00B75B99" w:rsidTr="000E3C64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05D9" w:rsidRPr="00B75B99" w:rsidRDefault="009A05D9" w:rsidP="000E3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sp.,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Solidago</w:t>
            </w:r>
            <w:proofErr w:type="spellEnd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giganthea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9A05D9" w:rsidRPr="00B75B99" w:rsidTr="000E3C64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5D9" w:rsidRPr="00B75B99" w:rsidRDefault="009A05D9" w:rsidP="000E3C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9A05D9" w:rsidRPr="00B75B99" w:rsidRDefault="009A05D9" w:rsidP="000E3C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05D9" w:rsidRPr="00B75B99" w:rsidRDefault="009A05D9" w:rsidP="000E3C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05D9" w:rsidRPr="00B75B99" w:rsidRDefault="009A05D9" w:rsidP="000E3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9A05D9" w:rsidRPr="00B75B99" w:rsidRDefault="009A05D9" w:rsidP="000E3C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A18DF" w:rsidRDefault="00FA18DF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E71EF" w:rsidRPr="00B75B99" w:rsidRDefault="00B91B32" w:rsidP="002E71E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Zlepšenie </w:t>
      </w:r>
      <w:r w:rsidR="002E71EF" w:rsidRPr="00B75B99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="002E71EF" w:rsidRPr="00B75B99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="002E71EF"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="002E71EF" w:rsidRPr="00B75B99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="002E71EF" w:rsidRPr="00B75B9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="002E71EF" w:rsidRPr="00B75B99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2E71EF" w:rsidRPr="00B75B99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="002E71EF" w:rsidRPr="00B75B99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94"/>
        <w:gridCol w:w="1516"/>
        <w:gridCol w:w="1364"/>
        <w:gridCol w:w="4608"/>
      </w:tblGrid>
      <w:tr w:rsidR="002E71EF" w:rsidRPr="00B75B99" w:rsidTr="002E71EF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E71EF" w:rsidRPr="00B75B99" w:rsidTr="002E71EF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9A05D9" w:rsidP="002E71E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výme</w:t>
            </w:r>
            <w:r w:rsidR="007B0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biotopu na výmere min. 13,8 ha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2E71EF" w:rsidRPr="00B75B99" w:rsidTr="002E71EF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2E71EF" w:rsidRPr="00B75B99" w:rsidRDefault="002E71EF" w:rsidP="002E7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A. 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 A. 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tataricum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danubialis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F. 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*, Q. 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Q. 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pubescens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* 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Q. </w:t>
            </w:r>
            <w:proofErr w:type="spellStart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proofErr w:type="spellEnd"/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Populus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T.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laevis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E71EF" w:rsidRPr="00B75B99" w:rsidRDefault="002E71EF" w:rsidP="002E7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Euonymus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verrucosus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Prunus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spinosa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</w:p>
          <w:p w:rsidR="002E71EF" w:rsidRPr="00B75B99" w:rsidRDefault="002E71EF" w:rsidP="002E7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proofErr w:type="spellStart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pubescens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:rsidR="002E71EF" w:rsidRPr="00B75B99" w:rsidRDefault="002E71EF" w:rsidP="002E71EF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2E71EF" w:rsidRPr="00B75B99" w:rsidTr="002E71EF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2E71EF" w:rsidRPr="00B75B99" w:rsidRDefault="002E71EF" w:rsidP="002E71EF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trachelium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Convallaria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majalis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Corydalis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cava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Dactylis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polygama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Galanthus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nivalis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Lathyrus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vernus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uniflora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Melittis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melissophyllum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Polygonatum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latifolium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Potentilla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micrantha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Primula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Pulmonaria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mollis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Scutellaria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Viola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mirabilis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2E71EF" w:rsidRPr="00B75B99" w:rsidTr="002E71EF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</w:t>
            </w:r>
            <w:r w:rsidR="007B0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  <w:r w:rsidR="007B0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sp.,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Solidago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giganthea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B0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2E71EF" w:rsidRPr="00B75B99" w:rsidTr="002E71EF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EF" w:rsidRPr="00B75B99" w:rsidRDefault="00767DA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</w:t>
            </w:r>
            <w:r w:rsidR="002E71EF"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E71EF" w:rsidRPr="00B75B99" w:rsidRDefault="002E71EF" w:rsidP="002E7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:rsidR="002E71EF" w:rsidRPr="00B75B99" w:rsidRDefault="002E71EF" w:rsidP="002E7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E71EF" w:rsidRPr="00B75B99" w:rsidRDefault="002E71EF" w:rsidP="002E71EF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:rsidR="00877165" w:rsidRPr="00FA68E1" w:rsidRDefault="00B91B32" w:rsidP="0087716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877165"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877165"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Tr2 (6240*) </w:t>
      </w:r>
      <w:proofErr w:type="spellStart"/>
      <w:r w:rsidR="00877165"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Subpanónske</w:t>
      </w:r>
      <w:proofErr w:type="spellEnd"/>
      <w:r w:rsidR="00877165"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877165"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travinnobylinné</w:t>
      </w:r>
      <w:proofErr w:type="spellEnd"/>
      <w:r w:rsidR="00877165"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porasty </w:t>
      </w:r>
      <w:r w:rsidR="00877165"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85"/>
        <w:gridCol w:w="1297"/>
        <w:gridCol w:w="1440"/>
        <w:gridCol w:w="5281"/>
      </w:tblGrid>
      <w:tr w:rsidR="00877165" w:rsidRPr="00FA68E1" w:rsidTr="007B41E3">
        <w:trPr>
          <w:trHeight w:val="705"/>
        </w:trPr>
        <w:tc>
          <w:tcPr>
            <w:tcW w:w="1657" w:type="dxa"/>
            <w:shd w:val="clear" w:color="auto" w:fill="auto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96" w:type="dxa"/>
            <w:shd w:val="clear" w:color="auto" w:fill="auto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877165" w:rsidRPr="00FA68E1" w:rsidTr="007B41E3">
        <w:trPr>
          <w:trHeight w:val="290"/>
        </w:trPr>
        <w:tc>
          <w:tcPr>
            <w:tcW w:w="1657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165" w:rsidRPr="00FA68E1" w:rsidRDefault="009A05D9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 w:rsidR="00B91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877165" w:rsidRPr="00FA68E1" w:rsidTr="007B41E3">
        <w:trPr>
          <w:trHeight w:val="563"/>
        </w:trPr>
        <w:tc>
          <w:tcPr>
            <w:tcW w:w="1657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877165" w:rsidRPr="00767DAF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7D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druhy:  </w:t>
            </w:r>
          </w:p>
          <w:p w:rsidR="00877165" w:rsidRPr="00767DAF" w:rsidRDefault="00D93897" w:rsidP="007B41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Adonis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vernalis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Anthericum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ramosum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septentrionale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Carduus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collinus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caryophyllea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pracecox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Cruciata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pedemontana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pseudodalmatica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viridis,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Chondrilla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juncea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Inula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oculus-christi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Linaria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genistifolia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Medicago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minima,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transsilvanica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Pilosella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bauhinii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bulbosa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arenaria,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argentea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43112F"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="0043112F"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3112F"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="0043112F"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43112F" w:rsidRPr="00767DAF">
              <w:rPr>
                <w:sz w:val="24"/>
                <w:szCs w:val="24"/>
              </w:rPr>
              <w:t xml:space="preserve"> </w:t>
            </w:r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Sanguisorba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minor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Scabiosa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ochroleuca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osseum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capillata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dasyphylla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joannis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pulcherrima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arvense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877165" w:rsidRPr="00FA68E1" w:rsidTr="007B41E3">
        <w:trPr>
          <w:trHeight w:val="290"/>
        </w:trPr>
        <w:tc>
          <w:tcPr>
            <w:tcW w:w="1657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877165" w:rsidRPr="00FA68E1" w:rsidTr="007B41E3">
        <w:trPr>
          <w:trHeight w:val="404"/>
        </w:trPr>
        <w:tc>
          <w:tcPr>
            <w:tcW w:w="1657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877165" w:rsidRDefault="00877165" w:rsidP="004F6CB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1B32" w:rsidRPr="00B91B32" w:rsidRDefault="00B91B32" w:rsidP="00B91B32">
      <w:pPr>
        <w:ind w:left="-284"/>
        <w:rPr>
          <w:rFonts w:ascii="Times New Roman" w:hAnsi="Times New Roman" w:cs="Times New Roman"/>
          <w:color w:val="000000"/>
          <w:szCs w:val="24"/>
        </w:rPr>
      </w:pPr>
      <w:r w:rsidRPr="00B91B32">
        <w:rPr>
          <w:rFonts w:ascii="Times New Roman" w:hAnsi="Times New Roman" w:cs="Times New Roman"/>
          <w:color w:val="000000"/>
          <w:szCs w:val="24"/>
        </w:rPr>
        <w:t xml:space="preserve">Zlepšenie stavu biotopu </w:t>
      </w:r>
      <w:r w:rsidRPr="00B91B32">
        <w:rPr>
          <w:rFonts w:ascii="Times New Roman" w:hAnsi="Times New Roman" w:cs="Times New Roman"/>
          <w:b/>
          <w:color w:val="000000"/>
          <w:szCs w:val="24"/>
        </w:rPr>
        <w:t xml:space="preserve">Pi4 (8230) Pionierske spoločenstvá plytkých silikátových pôd </w:t>
      </w:r>
      <w:r w:rsidRPr="00B91B32">
        <w:rPr>
          <w:rFonts w:ascii="Times New Roman" w:hAnsi="Times New Roman" w:cs="Times New Roman"/>
          <w:color w:val="000000"/>
          <w:szCs w:val="24"/>
        </w:rPr>
        <w:t>za splnenia nasledovných atribútov:</w:t>
      </w:r>
    </w:p>
    <w:tbl>
      <w:tblPr>
        <w:tblW w:w="526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457"/>
        <w:gridCol w:w="1433"/>
        <w:gridCol w:w="1008"/>
        <w:gridCol w:w="4805"/>
      </w:tblGrid>
      <w:tr w:rsidR="00B91B32" w:rsidRPr="00B91B32" w:rsidTr="00B760B0">
        <w:trPr>
          <w:trHeight w:val="570"/>
        </w:trPr>
        <w:tc>
          <w:tcPr>
            <w:tcW w:w="2416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10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992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727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B91B32" w:rsidRPr="00B91B32" w:rsidTr="00B760B0">
        <w:trPr>
          <w:trHeight w:val="290"/>
        </w:trPr>
        <w:tc>
          <w:tcPr>
            <w:tcW w:w="2416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410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992" w:type="dxa"/>
            <w:vAlign w:val="center"/>
          </w:tcPr>
          <w:p w:rsidR="00B91B32" w:rsidRPr="00B91B32" w:rsidRDefault="009A05D9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1,1</w:t>
            </w:r>
          </w:p>
        </w:tc>
        <w:tc>
          <w:tcPr>
            <w:tcW w:w="4727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výmeru biotopu.  </w:t>
            </w:r>
          </w:p>
        </w:tc>
      </w:tr>
      <w:tr w:rsidR="00B91B32" w:rsidRPr="00B91B32" w:rsidTr="00B760B0">
        <w:trPr>
          <w:trHeight w:val="290"/>
        </w:trPr>
        <w:tc>
          <w:tcPr>
            <w:tcW w:w="2416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410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992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2 druhy</w:t>
            </w:r>
          </w:p>
        </w:tc>
        <w:tc>
          <w:tcPr>
            <w:tcW w:w="4727" w:type="dxa"/>
            <w:vAlign w:val="center"/>
          </w:tcPr>
          <w:p w:rsidR="00B91B32" w:rsidRPr="00B91B32" w:rsidRDefault="00B91B32" w:rsidP="00136938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Acetosella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tenuifolia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Allium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senescens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montanum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Androsace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elongata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Arabidopsis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thaliana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Arenaria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serpyllifolia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Cerastium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brachypetalum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Cerastium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semidecandrum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Ceratodon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purpureus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Cruciata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pedemontana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Erophila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verna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Gagea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bohemica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Galium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tenuissimum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Herniaria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glabra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Jovibarba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globifera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Minuartia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glomerata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Myosotis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ramosissima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Myosotis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stricta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Poa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bulbosa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Polytrichum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formosum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Polytrichum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piliferum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Potentilla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argentea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Racomitrium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canescens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Scleranthus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annuus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Scleranthus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perennis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Scleranthus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polycarpos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Sedum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acre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Sedum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album,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Sedum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annuum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Sedum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sexangulare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Veronica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dillenii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Veronica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fruticans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Veronica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verna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Vulpia</w:t>
            </w:r>
            <w:proofErr w:type="spellEnd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sz w:val="18"/>
                <w:szCs w:val="18"/>
              </w:rPr>
              <w:t>bromoides</w:t>
            </w:r>
            <w:proofErr w:type="spellEnd"/>
          </w:p>
        </w:tc>
      </w:tr>
      <w:tr w:rsidR="00B91B32" w:rsidRPr="00B91B32" w:rsidTr="00B760B0">
        <w:trPr>
          <w:trHeight w:val="290"/>
        </w:trPr>
        <w:tc>
          <w:tcPr>
            <w:tcW w:w="2416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410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20 %</w:t>
            </w:r>
          </w:p>
        </w:tc>
        <w:tc>
          <w:tcPr>
            <w:tcW w:w="4727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Minimálny výskyt drevín.</w:t>
            </w:r>
          </w:p>
        </w:tc>
      </w:tr>
      <w:tr w:rsidR="00B91B32" w:rsidRPr="00B91B32" w:rsidTr="00B760B0">
        <w:trPr>
          <w:trHeight w:val="290"/>
        </w:trPr>
        <w:tc>
          <w:tcPr>
            <w:tcW w:w="2416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alochtónnych</w:t>
            </w:r>
            <w:proofErr w:type="spellEnd"/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/</w:t>
            </w:r>
          </w:p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inváznych/invázne sa správajúcich druhov</w:t>
            </w:r>
          </w:p>
        </w:tc>
        <w:tc>
          <w:tcPr>
            <w:tcW w:w="1410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992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727" w:type="dxa"/>
            <w:vAlign w:val="center"/>
          </w:tcPr>
          <w:p w:rsidR="00B91B32" w:rsidRPr="00B91B32" w:rsidRDefault="00B91B32" w:rsidP="00B760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Žiadny výskyt nepôvodných a inváznych druhov. </w:t>
            </w:r>
          </w:p>
        </w:tc>
      </w:tr>
    </w:tbl>
    <w:p w:rsidR="00B91B32" w:rsidRPr="00B91B32" w:rsidRDefault="00B91B32" w:rsidP="00B91B32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877165" w:rsidRPr="00FA68E1" w:rsidRDefault="005810A1" w:rsidP="0087716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877165"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877165"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Kr6 (40A0*) Xerotermné kroviny </w:t>
      </w:r>
      <w:r w:rsidR="00877165"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1730"/>
        <w:gridCol w:w="1297"/>
        <w:gridCol w:w="1440"/>
        <w:gridCol w:w="5334"/>
      </w:tblGrid>
      <w:tr w:rsidR="00877165" w:rsidRPr="00FA68E1" w:rsidTr="007B41E3">
        <w:trPr>
          <w:trHeight w:val="705"/>
        </w:trPr>
        <w:tc>
          <w:tcPr>
            <w:tcW w:w="1702" w:type="dxa"/>
            <w:shd w:val="clear" w:color="auto" w:fill="FFFFFF"/>
            <w:hideMark/>
          </w:tcPr>
          <w:p w:rsidR="00877165" w:rsidRPr="00FA68E1" w:rsidRDefault="00877165" w:rsidP="007B41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FFFFFF"/>
            <w:hideMark/>
          </w:tcPr>
          <w:p w:rsidR="00877165" w:rsidRPr="00FA68E1" w:rsidRDefault="00877165" w:rsidP="007B41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FFFFFF"/>
            <w:hideMark/>
          </w:tcPr>
          <w:p w:rsidR="00877165" w:rsidRPr="00FA68E1" w:rsidRDefault="00877165" w:rsidP="007B41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7" w:type="dxa"/>
            <w:shd w:val="clear" w:color="auto" w:fill="FFFFFF"/>
            <w:hideMark/>
          </w:tcPr>
          <w:p w:rsidR="00877165" w:rsidRPr="00FA68E1" w:rsidRDefault="00877165" w:rsidP="007B41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877165" w:rsidRPr="00FA68E1" w:rsidTr="007B41E3">
        <w:trPr>
          <w:trHeight w:val="290"/>
        </w:trPr>
        <w:tc>
          <w:tcPr>
            <w:tcW w:w="1702" w:type="dxa"/>
            <w:shd w:val="clear" w:color="auto" w:fill="FFFFFF"/>
            <w:vAlign w:val="bottom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877165" w:rsidRPr="00FA68E1" w:rsidRDefault="009A05D9" w:rsidP="007B41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 w:rsidR="00B91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,5</w:t>
            </w:r>
          </w:p>
        </w:tc>
        <w:tc>
          <w:tcPr>
            <w:tcW w:w="5247" w:type="dxa"/>
            <w:shd w:val="clear" w:color="auto" w:fill="FFFFFF"/>
            <w:vAlign w:val="bottom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877165" w:rsidRPr="00FA68E1" w:rsidTr="007B41E3">
        <w:trPr>
          <w:trHeight w:val="699"/>
        </w:trPr>
        <w:tc>
          <w:tcPr>
            <w:tcW w:w="1702" w:type="dxa"/>
            <w:shd w:val="clear" w:color="auto" w:fill="FFFFFF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5 druhov</w:t>
            </w:r>
          </w:p>
        </w:tc>
        <w:tc>
          <w:tcPr>
            <w:tcW w:w="5247" w:type="dxa"/>
            <w:shd w:val="clear" w:color="auto" w:fill="FFFFFF"/>
            <w:vAlign w:val="center"/>
            <w:hideMark/>
          </w:tcPr>
          <w:p w:rsidR="00877165" w:rsidRPr="00767DAF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67D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767D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877165" w:rsidRPr="00767DAF" w:rsidRDefault="007C12C8" w:rsidP="003F661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Acer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tataricum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Aconitum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anthora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Arabis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turrita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Carex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humili</w:t>
            </w:r>
            <w:r w:rsidR="00EC4AE3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fruticosa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Cornus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mas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Crataegus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monogyna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Cyanus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triumfettii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Euonymus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verrucosus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Fraxinus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ornus</w:t>
            </w:r>
            <w:proofErr w:type="spellEnd"/>
            <w:r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album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sanguineum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B500D2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500D2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Inula</w:t>
            </w:r>
            <w:proofErr w:type="spellEnd"/>
            <w:r w:rsidR="00B500D2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500D2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ensifoilia</w:t>
            </w:r>
            <w:proofErr w:type="spellEnd"/>
            <w:r w:rsidR="00B500D2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Ligustrum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vulgare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48D2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548D2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Orchis</w:t>
            </w:r>
            <w:proofErr w:type="spellEnd"/>
            <w:r w:rsidR="002548D2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548D2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="002548D2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Polygonatum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Quercus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cerris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Quercus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dalechampii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Quercus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pubescens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Quercus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virgiliana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canina</w:t>
            </w:r>
            <w:proofErr w:type="spellEnd"/>
            <w:r w:rsidRPr="0076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DAF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767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7165" w:rsidRPr="00767D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Rosa </w:t>
            </w:r>
            <w:proofErr w:type="spellStart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gallica</w:t>
            </w:r>
            <w:proofErr w:type="spellEnd"/>
            <w:r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76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pimpinellifolia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Spiraea</w:t>
            </w:r>
            <w:proofErr w:type="spellEnd"/>
            <w:r w:rsidR="00877165"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="00877165"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412F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Vicia</w:t>
            </w:r>
            <w:proofErr w:type="spellEnd"/>
            <w:r w:rsidR="008412F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412F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tenuifolia</w:t>
            </w:r>
            <w:proofErr w:type="spellEnd"/>
            <w:r w:rsidR="008412F5" w:rsidRPr="00767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Vincetoxicum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hirundinaria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="00877165" w:rsidRPr="00767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77165"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Waldsteinia</w:t>
            </w:r>
            <w:proofErr w:type="spellEnd"/>
            <w:r w:rsidR="00877165"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65" w:rsidRPr="00767DA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geoides</w:t>
            </w:r>
            <w:proofErr w:type="spellEnd"/>
          </w:p>
        </w:tc>
      </w:tr>
      <w:tr w:rsidR="00877165" w:rsidRPr="00FA68E1" w:rsidTr="007B41E3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krovín a drevín /plocha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50 % krovín, menej ako 20 % drevín</w:t>
            </w:r>
          </w:p>
        </w:tc>
        <w:tc>
          <w:tcPr>
            <w:tcW w:w="5247" w:type="dxa"/>
            <w:shd w:val="clear" w:color="auto" w:fill="FFFFFF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Udržané zastúpenie teplomilných drevín a krovín na výmere väčšej ako polovica z výmery biotopu, výmera drevín v stromovej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etáži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minimálna.</w:t>
            </w:r>
          </w:p>
        </w:tc>
      </w:tr>
      <w:tr w:rsidR="00877165" w:rsidRPr="00FA68E1" w:rsidTr="007B41E3">
        <w:trPr>
          <w:trHeight w:val="850"/>
        </w:trPr>
        <w:tc>
          <w:tcPr>
            <w:tcW w:w="1702" w:type="dxa"/>
            <w:shd w:val="clear" w:color="auto" w:fill="FFFFFF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5247" w:type="dxa"/>
            <w:shd w:val="clear" w:color="auto" w:fill="FFFFFF"/>
            <w:vAlign w:val="center"/>
            <w:hideMark/>
          </w:tcPr>
          <w:p w:rsidR="00877165" w:rsidRPr="00FA68E1" w:rsidRDefault="00877165" w:rsidP="007B41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877165" w:rsidRDefault="00877165" w:rsidP="00877165">
      <w:pPr>
        <w:rPr>
          <w:rFonts w:ascii="Times New Roman" w:hAnsi="Times New Roman" w:cs="Times New Roman"/>
          <w:sz w:val="20"/>
          <w:szCs w:val="20"/>
        </w:rPr>
      </w:pPr>
    </w:p>
    <w:p w:rsidR="00364B28" w:rsidRPr="00481138" w:rsidRDefault="00364B28" w:rsidP="00364B28">
      <w:pPr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481138">
        <w:rPr>
          <w:rFonts w:ascii="Times New Roman" w:hAnsi="Times New Roman" w:cs="Times New Roman"/>
        </w:rPr>
        <w:t xml:space="preserve">Zlepšenie stavu druhu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Eriogaster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catax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 w:rsidRPr="00481138">
        <w:rPr>
          <w:rFonts w:ascii="Times New Roman" w:hAnsi="Times New Roman" w:cs="Times New Roman"/>
          <w:color w:val="000000"/>
        </w:rPr>
        <w:t>v súlade s nasledovnými atribútmi a cieľovými hodnotami.</w:t>
      </w:r>
    </w:p>
    <w:tbl>
      <w:tblPr>
        <w:tblW w:w="5315" w:type="pct"/>
        <w:tblInd w:w="2" w:type="dxa"/>
        <w:tblCellMar>
          <w:left w:w="70" w:type="dxa"/>
          <w:right w:w="70" w:type="dxa"/>
        </w:tblCellMar>
        <w:tblLook w:val="00A0"/>
      </w:tblPr>
      <w:tblGrid>
        <w:gridCol w:w="2344"/>
        <w:gridCol w:w="1431"/>
        <w:gridCol w:w="1567"/>
        <w:gridCol w:w="4449"/>
      </w:tblGrid>
      <w:tr w:rsidR="00364B28" w:rsidRPr="00B91B32" w:rsidTr="00767DAF">
        <w:trPr>
          <w:trHeight w:val="531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364B28" w:rsidRPr="00B91B32" w:rsidTr="00767DAF">
        <w:trPr>
          <w:trHeight w:val="553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najmenej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Potrebné zvýšenie početnosti populácie, na súčasnú hornú</w:t>
            </w:r>
            <w:r w:rsidR="009A05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hranicu, odhaduje sa na  0 až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jedincov </w:t>
            </w:r>
          </w:p>
        </w:tc>
      </w:tr>
      <w:tr w:rsidR="00364B28" w:rsidRPr="00B91B32" w:rsidTr="00767DAF">
        <w:trPr>
          <w:trHeight w:val="441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767DAF" w:rsidRDefault="009A05D9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B28" w:rsidRPr="00B91B32" w:rsidRDefault="00364B28" w:rsidP="00696C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Udržanie výmery biotopu - krovinaté biotopy, riedke lesy, lesné </w:t>
            </w:r>
            <w:proofErr w:type="spellStart"/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ekotony</w:t>
            </w:r>
            <w:proofErr w:type="spellEnd"/>
          </w:p>
        </w:tc>
      </w:tr>
      <w:tr w:rsidR="00364B28" w:rsidRPr="00B91B32" w:rsidTr="00767DAF">
        <w:trPr>
          <w:trHeight w:val="817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prítomnosť drevín a krov v 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max. 70 % 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B28" w:rsidRPr="00B91B32" w:rsidRDefault="00364B28" w:rsidP="00696C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zachovanie medzí a okraje/</w:t>
            </w:r>
            <w:proofErr w:type="spellStart"/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ekoton</w:t>
            </w:r>
            <w:proofErr w:type="spellEnd"/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les-lúka</w:t>
            </w:r>
            <w:proofErr w:type="spellEnd"/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ako úkryty pre </w:t>
            </w:r>
            <w:proofErr w:type="spellStart"/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imága</w:t>
            </w:r>
            <w:proofErr w:type="spellEnd"/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64B28" w:rsidRPr="00B91B32" w:rsidTr="00767DAF">
        <w:trPr>
          <w:trHeight w:val="112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91B32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max. 3 % 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B28" w:rsidRPr="00B91B32" w:rsidRDefault="00364B28" w:rsidP="00696C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sekundárna sukcesia na lokalite max. do 3%</w:t>
            </w:r>
          </w:p>
        </w:tc>
      </w:tr>
    </w:tbl>
    <w:p w:rsidR="00364B28" w:rsidRDefault="00364B28" w:rsidP="00364B28">
      <w:pPr>
        <w:rPr>
          <w:rFonts w:ascii="Times New Roman" w:hAnsi="Times New Roman" w:cs="Times New Roman"/>
        </w:rPr>
      </w:pPr>
    </w:p>
    <w:p w:rsidR="00364B28" w:rsidRDefault="00364B28" w:rsidP="00364B28">
      <w:pPr>
        <w:rPr>
          <w:rFonts w:ascii="Times New Roman" w:hAnsi="Times New Roman" w:cs="Times New Roman"/>
        </w:rPr>
      </w:pPr>
    </w:p>
    <w:p w:rsidR="00364B28" w:rsidRPr="00481138" w:rsidRDefault="00364B28" w:rsidP="00364B28">
      <w:pPr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481138">
        <w:rPr>
          <w:rFonts w:ascii="Times New Roman" w:hAnsi="Times New Roman" w:cs="Times New Roman"/>
        </w:rPr>
        <w:t xml:space="preserve">Zlepšenie stavu druhu </w:t>
      </w:r>
      <w:proofErr w:type="spellStart"/>
      <w:r w:rsidRPr="00481138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</w:t>
      </w:r>
      <w:proofErr w:type="spellEnd"/>
      <w:r w:rsidRPr="00481138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481138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cervus</w:t>
      </w:r>
      <w:proofErr w:type="spellEnd"/>
      <w:r w:rsidRPr="00481138"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481138">
        <w:rPr>
          <w:rFonts w:ascii="Times New Roman" w:hAnsi="Times New Roman" w:cs="Times New Roman"/>
          <w:color w:val="000000"/>
        </w:rPr>
        <w:t>v súlade s nasledovnými 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10"/>
        <w:gridCol w:w="1575"/>
        <w:gridCol w:w="1701"/>
        <w:gridCol w:w="3670"/>
      </w:tblGrid>
      <w:tr w:rsidR="00364B28" w:rsidRPr="00481138" w:rsidTr="00696C83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28" w:rsidRPr="00767DAF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67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28" w:rsidRPr="00767DAF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67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28" w:rsidRPr="00767DAF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67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28" w:rsidRPr="00767DAF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67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64B28" w:rsidRPr="00481138" w:rsidTr="00696C83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28" w:rsidRPr="00481138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28" w:rsidRPr="00481138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28" w:rsidRPr="00481138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28" w:rsidRPr="00481138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adovaná na  veľkosť populácie 5</w:t>
            </w: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 jedincov (</w:t>
            </w:r>
            <w:proofErr w:type="spellStart"/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aktuály</w:t>
            </w:r>
            <w:proofErr w:type="spellEnd"/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údaj / z SDF)</w:t>
            </w:r>
          </w:p>
        </w:tc>
      </w:tr>
      <w:tr w:rsidR="00364B28" w:rsidRPr="00481138" w:rsidTr="00696C83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28" w:rsidRPr="00481138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28" w:rsidRPr="00481138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28" w:rsidRPr="00767DAF" w:rsidRDefault="009A05D9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28" w:rsidRPr="00481138" w:rsidRDefault="00364B28" w:rsidP="00696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Vyžaduje staršie lesy </w:t>
            </w:r>
            <w:proofErr w:type="spellStart"/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až pralesovitého charakteru. Vyskytuje sa pod kôrou takmer všetkých našich pôvodných druhov drevín.</w:t>
            </w:r>
          </w:p>
          <w:p w:rsidR="00364B28" w:rsidRPr="00481138" w:rsidRDefault="00364B28" w:rsidP="00696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364B28" w:rsidRPr="00481138" w:rsidTr="00696C83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28" w:rsidRPr="00481138" w:rsidRDefault="00364B28" w:rsidP="00696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28" w:rsidRPr="00481138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28" w:rsidRPr="00481138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28" w:rsidRPr="00481138" w:rsidRDefault="00364B28" w:rsidP="00696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1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:rsidR="00364B28" w:rsidRDefault="00364B28" w:rsidP="00364B2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364B28" w:rsidRPr="007B41E3" w:rsidRDefault="00364B28" w:rsidP="00364B28">
      <w:pPr>
        <w:rPr>
          <w:rFonts w:ascii="Times New Roman" w:eastAsia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</w:rPr>
        <w:t xml:space="preserve">Zlepšenie </w:t>
      </w:r>
      <w:r w:rsidRPr="007B41E3">
        <w:rPr>
          <w:rFonts w:ascii="Times New Roman" w:hAnsi="Times New Roman" w:cs="Times New Roman"/>
        </w:rPr>
        <w:t xml:space="preserve">stavu druhu </w:t>
      </w:r>
      <w:proofErr w:type="spellStart"/>
      <w:r>
        <w:rPr>
          <w:rFonts w:ascii="Times New Roman" w:eastAsia="Times New Roman" w:hAnsi="Times New Roman" w:cs="Times New Roman"/>
          <w:b/>
          <w:i/>
          <w:lang w:eastAsia="sk-SK"/>
        </w:rPr>
        <w:t>Phenagris</w:t>
      </w:r>
      <w:proofErr w:type="spellEnd"/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eastAsia="sk-SK"/>
        </w:rPr>
        <w:t>nausithous</w:t>
      </w:r>
      <w:proofErr w:type="spellEnd"/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r w:rsidRPr="007B41E3">
        <w:rPr>
          <w:rFonts w:ascii="Times New Roman" w:hAnsi="Times New Roman" w:cs="Times New Roman"/>
        </w:rPr>
        <w:t>za splnenia nasledovných atribútov:</w:t>
      </w:r>
    </w:p>
    <w:tbl>
      <w:tblPr>
        <w:tblW w:w="4982" w:type="pct"/>
        <w:tblInd w:w="2" w:type="dxa"/>
        <w:tblCellMar>
          <w:left w:w="70" w:type="dxa"/>
          <w:right w:w="70" w:type="dxa"/>
        </w:tblCellMar>
        <w:tblLook w:val="00A0"/>
      </w:tblPr>
      <w:tblGrid>
        <w:gridCol w:w="2381"/>
        <w:gridCol w:w="1719"/>
        <w:gridCol w:w="1571"/>
        <w:gridCol w:w="3507"/>
      </w:tblGrid>
      <w:tr w:rsidR="00364B28" w:rsidRPr="00B75B99" w:rsidTr="009A05D9">
        <w:trPr>
          <w:trHeight w:val="53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364B28" w:rsidRPr="00B75B99" w:rsidTr="009A05D9">
        <w:trPr>
          <w:trHeight w:val="55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50</w:t>
            </w: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odhaduje sa na  0 až 50 jedincov, potrebné dosiahnuť súčasnú max. hodnotu početnosti</w:t>
            </w:r>
          </w:p>
        </w:tc>
      </w:tr>
      <w:tr w:rsidR="009A05D9" w:rsidRPr="00B75B99" w:rsidTr="009A05D9">
        <w:trPr>
          <w:trHeight w:val="44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9" w:rsidRPr="00B75B99" w:rsidRDefault="009A05D9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5D9" w:rsidRPr="00B75B99" w:rsidRDefault="009A05D9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5D9" w:rsidRPr="00767DAF" w:rsidRDefault="009A05D9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5D9" w:rsidRPr="00B75B99" w:rsidRDefault="009A05D9" w:rsidP="000E3C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Udržanie výmery biotopu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mezofilné lúky, lemové spoločenstvá</w:t>
            </w:r>
          </w:p>
        </w:tc>
      </w:tr>
      <w:tr w:rsidR="00364B28" w:rsidRPr="00B75B99" w:rsidTr="009A05D9">
        <w:trPr>
          <w:trHeight w:val="817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Kvalita biotopu – výskyt živnej rastliny (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krvavec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prítomnosť druhu </w:t>
            </w:r>
            <w:proofErr w:type="spellStart"/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krvavec</w:t>
            </w:r>
            <w:proofErr w:type="spellEnd"/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5B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B75B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) </w:t>
            </w: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25 - 50 %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B28" w:rsidRPr="00B75B99" w:rsidRDefault="00364B28" w:rsidP="00696C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zachovanie zastúpenia druhu v danom rozmedzí  </w:t>
            </w:r>
          </w:p>
        </w:tc>
      </w:tr>
      <w:tr w:rsidR="00364B28" w:rsidRPr="00B75B99" w:rsidTr="009A05D9">
        <w:trPr>
          <w:trHeight w:val="112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B28" w:rsidRPr="00B75B99" w:rsidRDefault="00364B28" w:rsidP="009A0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prítomnosť inváznych a potenciálne inváznych dr</w:t>
            </w:r>
            <w:r w:rsidR="009A05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uhov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B28" w:rsidRPr="00B75B99" w:rsidRDefault="00364B28" w:rsidP="00696C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pokrytia </w:t>
            </w:r>
            <w:r w:rsidR="009A05D9"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inváznych a potenciálne inváznych </w:t>
            </w:r>
            <w:r w:rsidR="009A05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druhov </w:t>
            </w: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 plochu biotopu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B75B99" w:rsidRDefault="009A05D9" w:rsidP="009A0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max. 3</w:t>
            </w:r>
            <w:r w:rsidR="00364B28"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B28" w:rsidRPr="00B75B99" w:rsidRDefault="009A05D9" w:rsidP="00696C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výskyt </w:t>
            </w:r>
            <w:r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inváznych a potenciálne inváznych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r w:rsidR="00364B28" w:rsidRPr="00B75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lokalite max. do 3%</w:t>
            </w:r>
          </w:p>
        </w:tc>
      </w:tr>
    </w:tbl>
    <w:p w:rsidR="00364B28" w:rsidRDefault="00364B28" w:rsidP="00364B28">
      <w:pPr>
        <w:rPr>
          <w:rFonts w:ascii="Times New Roman" w:hAnsi="Times New Roman" w:cs="Times New Roman"/>
        </w:rPr>
      </w:pPr>
    </w:p>
    <w:p w:rsidR="00364B28" w:rsidRPr="007B41E3" w:rsidRDefault="00364B28" w:rsidP="00364B28">
      <w:pPr>
        <w:rPr>
          <w:rFonts w:ascii="Times New Roman" w:eastAsia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</w:rPr>
        <w:t xml:space="preserve">Zachovanie </w:t>
      </w:r>
      <w:r w:rsidRPr="007B41E3">
        <w:rPr>
          <w:rFonts w:ascii="Times New Roman" w:hAnsi="Times New Roman" w:cs="Times New Roman"/>
        </w:rPr>
        <w:t xml:space="preserve">stavu druhu </w:t>
      </w:r>
      <w:proofErr w:type="spellStart"/>
      <w:r w:rsidRPr="007B41E3">
        <w:rPr>
          <w:rFonts w:ascii="Times New Roman" w:eastAsia="Times New Roman" w:hAnsi="Times New Roman" w:cs="Times New Roman"/>
          <w:b/>
          <w:i/>
          <w:lang w:eastAsia="sk-SK"/>
        </w:rPr>
        <w:t>Lycaena</w:t>
      </w:r>
      <w:proofErr w:type="spellEnd"/>
      <w:r w:rsidRPr="007B41E3"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proofErr w:type="spellStart"/>
      <w:r w:rsidRPr="007B41E3">
        <w:rPr>
          <w:rFonts w:ascii="Times New Roman" w:eastAsia="Times New Roman" w:hAnsi="Times New Roman" w:cs="Times New Roman"/>
          <w:b/>
          <w:i/>
          <w:lang w:eastAsia="sk-SK"/>
        </w:rPr>
        <w:t>dispar</w:t>
      </w:r>
      <w:proofErr w:type="spellEnd"/>
      <w:r w:rsidRPr="007B41E3"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r w:rsidRPr="007B41E3">
        <w:rPr>
          <w:rFonts w:ascii="Times New Roman" w:hAnsi="Times New Roman" w:cs="Times New Roman"/>
        </w:rPr>
        <w:t>za splnenia nasledovných atribútov:</w:t>
      </w:r>
    </w:p>
    <w:tbl>
      <w:tblPr>
        <w:tblW w:w="5000" w:type="pct"/>
        <w:tblInd w:w="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1694"/>
        <w:gridCol w:w="2344"/>
        <w:gridCol w:w="1688"/>
        <w:gridCol w:w="3480"/>
      </w:tblGrid>
      <w:tr w:rsidR="00364B28" w:rsidRPr="007B41E3" w:rsidTr="009A05D9">
        <w:trPr>
          <w:trHeight w:val="310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23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5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364B28" w:rsidRPr="007B41E3" w:rsidTr="009A05D9">
        <w:trPr>
          <w:trHeight w:val="310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23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počet jedincov (</w:t>
            </w:r>
            <w:proofErr w:type="spellStart"/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imágo</w:t>
            </w:r>
            <w:proofErr w:type="spellEnd"/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, larva)</w:t>
            </w:r>
          </w:p>
        </w:tc>
        <w:tc>
          <w:tcPr>
            <w:tcW w:w="1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 300</w:t>
            </w: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dhaduje sa na  1000</w:t>
            </w: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</w:t>
            </w: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0 jedincov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potrebné dosiahnuť minimálne hodnú hranicu početnosti.</w:t>
            </w:r>
          </w:p>
        </w:tc>
      </w:tr>
      <w:tr w:rsidR="00364B28" w:rsidRPr="007B41E3" w:rsidTr="009A05D9">
        <w:trPr>
          <w:trHeight w:val="930"/>
        </w:trPr>
        <w:tc>
          <w:tcPr>
            <w:tcW w:w="1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Výmera biotopu</w:t>
            </w:r>
          </w:p>
        </w:tc>
        <w:tc>
          <w:tcPr>
            <w:tcW w:w="23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67DAF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DAF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5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007B41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Rumex</w:t>
            </w:r>
            <w:proofErr w:type="spellEnd"/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sp.)</w:t>
            </w:r>
          </w:p>
        </w:tc>
      </w:tr>
      <w:tr w:rsidR="00364B28" w:rsidRPr="007B41E3" w:rsidTr="009A05D9">
        <w:trPr>
          <w:trHeight w:val="1550"/>
        </w:trPr>
        <w:tc>
          <w:tcPr>
            <w:tcW w:w="1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Kvalita biotopu druhu - zachovanie lúčnej vegetácie a pobrežných nelesných porastov s živnou rastlinou </w:t>
            </w:r>
            <w:proofErr w:type="spellStart"/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Rumex</w:t>
            </w:r>
            <w:proofErr w:type="spellEnd"/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23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výskytu druhu </w:t>
            </w:r>
            <w:proofErr w:type="spellStart"/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Rumex</w:t>
            </w:r>
            <w:proofErr w:type="spellEnd"/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Min. 20 %</w:t>
            </w:r>
          </w:p>
        </w:tc>
        <w:tc>
          <w:tcPr>
            <w:tcW w:w="35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4B28" w:rsidRPr="007B41E3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>Rumex</w:t>
            </w:r>
            <w:proofErr w:type="spellEnd"/>
            <w:r w:rsidRPr="007B41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V zastúpení min. 20 %</w:t>
            </w:r>
          </w:p>
        </w:tc>
      </w:tr>
    </w:tbl>
    <w:p w:rsidR="00364B28" w:rsidRDefault="00364B28" w:rsidP="00364B28">
      <w:pPr>
        <w:rPr>
          <w:rFonts w:ascii="Times New Roman" w:hAnsi="Times New Roman" w:cs="Times New Roman"/>
        </w:rPr>
      </w:pPr>
    </w:p>
    <w:p w:rsidR="00364B28" w:rsidRPr="001C790A" w:rsidRDefault="00364B28" w:rsidP="00364B28">
      <w:pPr>
        <w:rPr>
          <w:rFonts w:ascii="Times New Roman" w:eastAsia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</w:rPr>
        <w:t xml:space="preserve">Zlepšenie </w:t>
      </w:r>
      <w:r w:rsidRPr="007B41E3">
        <w:rPr>
          <w:rFonts w:ascii="Times New Roman" w:hAnsi="Times New Roman" w:cs="Times New Roman"/>
        </w:rPr>
        <w:t xml:space="preserve">stavu druhu </w:t>
      </w:r>
      <w:proofErr w:type="spellStart"/>
      <w:r>
        <w:rPr>
          <w:rFonts w:ascii="Times New Roman" w:eastAsia="Times New Roman" w:hAnsi="Times New Roman" w:cs="Times New Roman"/>
          <w:b/>
          <w:i/>
          <w:lang w:eastAsia="sk-SK"/>
        </w:rPr>
        <w:t>Euphydrias</w:t>
      </w:r>
      <w:proofErr w:type="spellEnd"/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eastAsia="sk-SK"/>
        </w:rPr>
        <w:t>maturna</w:t>
      </w:r>
      <w:proofErr w:type="spellEnd"/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r w:rsidRPr="007B41E3">
        <w:rPr>
          <w:rFonts w:ascii="Times New Roman" w:hAnsi="Times New Roman" w:cs="Times New Roman"/>
        </w:rPr>
        <w:t>za splnenia nasledovných atribútov:</w:t>
      </w:r>
    </w:p>
    <w:tbl>
      <w:tblPr>
        <w:tblW w:w="5280" w:type="pct"/>
        <w:tblInd w:w="66" w:type="dxa"/>
        <w:tblCellMar>
          <w:left w:w="70" w:type="dxa"/>
          <w:right w:w="70" w:type="dxa"/>
        </w:tblCellMar>
        <w:tblLook w:val="04A0"/>
      </w:tblPr>
      <w:tblGrid>
        <w:gridCol w:w="1730"/>
        <w:gridCol w:w="2330"/>
        <w:gridCol w:w="1730"/>
        <w:gridCol w:w="3937"/>
      </w:tblGrid>
      <w:tr w:rsidR="00364B28" w:rsidRPr="001C790A" w:rsidTr="00696C83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B28" w:rsidRPr="00767DAF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3"/>
            <w:r w:rsidRPr="00767D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B28" w:rsidRPr="00767DAF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D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B28" w:rsidRPr="00767DAF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D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B28" w:rsidRPr="00767DAF" w:rsidRDefault="00364B28" w:rsidP="00696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D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bookmarkEnd w:id="0"/>
      <w:tr w:rsidR="00364B28" w:rsidRPr="001C790A" w:rsidTr="00696C83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B28" w:rsidRPr="001C790A" w:rsidRDefault="00364B28" w:rsidP="00696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B28" w:rsidRPr="001C790A" w:rsidRDefault="00364B28" w:rsidP="00696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imágo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B28" w:rsidRPr="001C790A" w:rsidRDefault="00364B28" w:rsidP="00696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100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B28" w:rsidRPr="001C790A" w:rsidRDefault="00364B28" w:rsidP="00696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Zvýšenie </w:t>
            </w: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početnosti populácie, v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súčasnosti sa odhaduje do 100</w:t>
            </w: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jedincov </w:t>
            </w:r>
          </w:p>
        </w:tc>
      </w:tr>
      <w:tr w:rsidR="00364B28" w:rsidRPr="001C790A" w:rsidTr="00696C83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B28" w:rsidRPr="001C790A" w:rsidRDefault="00364B28" w:rsidP="00696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rozloha biotopu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B28" w:rsidRPr="001C790A" w:rsidRDefault="00364B28" w:rsidP="00696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767DAF" w:rsidRDefault="00364B28" w:rsidP="00696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DA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B28" w:rsidRPr="001C790A" w:rsidRDefault="00364B28" w:rsidP="00696C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Lesné čistiny, presvetlené lesy s výskytom jaseňa (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excelsior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a s výskytom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Ligistrum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 podraste, okolie lesných ciest, </w:t>
            </w:r>
          </w:p>
        </w:tc>
      </w:tr>
      <w:tr w:rsidR="00364B28" w:rsidRPr="001C790A" w:rsidTr="00696C83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B28" w:rsidRPr="001C790A" w:rsidRDefault="00364B28" w:rsidP="00696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kvalita biotopu druhu – s výskytom živných rastlín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Ligustrum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B28" w:rsidRPr="001C790A" w:rsidRDefault="00364B28" w:rsidP="00696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Ligustrum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 príp. 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B28" w:rsidRPr="001C790A" w:rsidRDefault="00364B28" w:rsidP="00696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30 %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Ligustrum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 každej evidovanej lokalite,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Fraxinus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excelsior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min. 5 %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B28" w:rsidRPr="001C790A" w:rsidRDefault="00364B28" w:rsidP="00696C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zachovanie presvetlených lesných porastov s lemovými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soločenstvami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 hostiteľskou rastlinou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Ligustrum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9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1C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zastúpení min. 30 %</w:t>
            </w:r>
          </w:p>
        </w:tc>
      </w:tr>
    </w:tbl>
    <w:p w:rsidR="00364B28" w:rsidRPr="007B41E3" w:rsidRDefault="00364B28" w:rsidP="00364B28">
      <w:pPr>
        <w:rPr>
          <w:rFonts w:ascii="Times New Roman" w:hAnsi="Times New Roman" w:cs="Times New Roman"/>
        </w:rPr>
      </w:pPr>
    </w:p>
    <w:p w:rsidR="00364B28" w:rsidRPr="00481138" w:rsidRDefault="00364B28" w:rsidP="00364B2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B91B32" w:rsidRPr="00481138" w:rsidRDefault="00B91B32" w:rsidP="00364B28">
      <w:pPr>
        <w:rPr>
          <w:rFonts w:ascii="Times New Roman" w:hAnsi="Times New Roman" w:cs="Times New Roman"/>
          <w:szCs w:val="24"/>
        </w:rPr>
      </w:pPr>
    </w:p>
    <w:sectPr w:rsidR="00B91B32" w:rsidRPr="00481138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/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5597E"/>
    <w:rsid w:val="00086B26"/>
    <w:rsid w:val="00090147"/>
    <w:rsid w:val="0009442B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36938"/>
    <w:rsid w:val="00165F46"/>
    <w:rsid w:val="00166A90"/>
    <w:rsid w:val="00186C3C"/>
    <w:rsid w:val="00195E53"/>
    <w:rsid w:val="001B4A5C"/>
    <w:rsid w:val="001C4290"/>
    <w:rsid w:val="001C7BB8"/>
    <w:rsid w:val="001D51FF"/>
    <w:rsid w:val="001D6A88"/>
    <w:rsid w:val="001E128A"/>
    <w:rsid w:val="001E4DB9"/>
    <w:rsid w:val="001F7DC2"/>
    <w:rsid w:val="00201434"/>
    <w:rsid w:val="00201FFE"/>
    <w:rsid w:val="002104EF"/>
    <w:rsid w:val="002147C9"/>
    <w:rsid w:val="00230996"/>
    <w:rsid w:val="00241989"/>
    <w:rsid w:val="00247CEF"/>
    <w:rsid w:val="002548D2"/>
    <w:rsid w:val="0025731E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E71EF"/>
    <w:rsid w:val="002F0EBF"/>
    <w:rsid w:val="002F2ED0"/>
    <w:rsid w:val="002F7BBC"/>
    <w:rsid w:val="003033C2"/>
    <w:rsid w:val="0031424B"/>
    <w:rsid w:val="00320662"/>
    <w:rsid w:val="003302C8"/>
    <w:rsid w:val="00340FF9"/>
    <w:rsid w:val="00342CE7"/>
    <w:rsid w:val="00344403"/>
    <w:rsid w:val="00346369"/>
    <w:rsid w:val="00354686"/>
    <w:rsid w:val="003564D4"/>
    <w:rsid w:val="00362332"/>
    <w:rsid w:val="00363808"/>
    <w:rsid w:val="00364B28"/>
    <w:rsid w:val="00366DB1"/>
    <w:rsid w:val="003706A2"/>
    <w:rsid w:val="00371953"/>
    <w:rsid w:val="003776EF"/>
    <w:rsid w:val="00384E08"/>
    <w:rsid w:val="00386192"/>
    <w:rsid w:val="003A3884"/>
    <w:rsid w:val="003B1ADE"/>
    <w:rsid w:val="003B34B6"/>
    <w:rsid w:val="003B552D"/>
    <w:rsid w:val="003B57FB"/>
    <w:rsid w:val="003C2090"/>
    <w:rsid w:val="003C2459"/>
    <w:rsid w:val="003D08ED"/>
    <w:rsid w:val="003D3424"/>
    <w:rsid w:val="003F5557"/>
    <w:rsid w:val="003F6610"/>
    <w:rsid w:val="003F71B7"/>
    <w:rsid w:val="0040002C"/>
    <w:rsid w:val="00402048"/>
    <w:rsid w:val="00403089"/>
    <w:rsid w:val="00410FDB"/>
    <w:rsid w:val="004234CB"/>
    <w:rsid w:val="0043112F"/>
    <w:rsid w:val="00437F58"/>
    <w:rsid w:val="004502A3"/>
    <w:rsid w:val="00455620"/>
    <w:rsid w:val="00460393"/>
    <w:rsid w:val="0046690B"/>
    <w:rsid w:val="0047109F"/>
    <w:rsid w:val="004767B7"/>
    <w:rsid w:val="00481138"/>
    <w:rsid w:val="00485650"/>
    <w:rsid w:val="0048574A"/>
    <w:rsid w:val="00493071"/>
    <w:rsid w:val="004969DA"/>
    <w:rsid w:val="00496DC2"/>
    <w:rsid w:val="004B4835"/>
    <w:rsid w:val="004B59B0"/>
    <w:rsid w:val="004C1BD8"/>
    <w:rsid w:val="004C5D19"/>
    <w:rsid w:val="004E591B"/>
    <w:rsid w:val="004E6C10"/>
    <w:rsid w:val="004F232E"/>
    <w:rsid w:val="004F6CBA"/>
    <w:rsid w:val="005007DD"/>
    <w:rsid w:val="00506BD5"/>
    <w:rsid w:val="00552897"/>
    <w:rsid w:val="00553C56"/>
    <w:rsid w:val="00555FDD"/>
    <w:rsid w:val="00567493"/>
    <w:rsid w:val="00576006"/>
    <w:rsid w:val="005810A1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408"/>
    <w:rsid w:val="005E0AC7"/>
    <w:rsid w:val="005E7AAB"/>
    <w:rsid w:val="00613454"/>
    <w:rsid w:val="00622104"/>
    <w:rsid w:val="00626A09"/>
    <w:rsid w:val="0062795D"/>
    <w:rsid w:val="006375C4"/>
    <w:rsid w:val="0064147B"/>
    <w:rsid w:val="00645F5F"/>
    <w:rsid w:val="00651377"/>
    <w:rsid w:val="00652933"/>
    <w:rsid w:val="00653B45"/>
    <w:rsid w:val="0066146B"/>
    <w:rsid w:val="00665790"/>
    <w:rsid w:val="00686099"/>
    <w:rsid w:val="0069367E"/>
    <w:rsid w:val="006A1181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2313"/>
    <w:rsid w:val="00735411"/>
    <w:rsid w:val="00754F13"/>
    <w:rsid w:val="007657C5"/>
    <w:rsid w:val="00767DAF"/>
    <w:rsid w:val="00767DD6"/>
    <w:rsid w:val="00775056"/>
    <w:rsid w:val="007823C5"/>
    <w:rsid w:val="00791978"/>
    <w:rsid w:val="007920A8"/>
    <w:rsid w:val="00796656"/>
    <w:rsid w:val="00797552"/>
    <w:rsid w:val="007A12DA"/>
    <w:rsid w:val="007B0F4A"/>
    <w:rsid w:val="007B1022"/>
    <w:rsid w:val="007B1AD9"/>
    <w:rsid w:val="007B41E3"/>
    <w:rsid w:val="007B475E"/>
    <w:rsid w:val="007B4FB4"/>
    <w:rsid w:val="007C12C8"/>
    <w:rsid w:val="007C1A4C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3494"/>
    <w:rsid w:val="008341E1"/>
    <w:rsid w:val="008343C9"/>
    <w:rsid w:val="00836ADE"/>
    <w:rsid w:val="008412F5"/>
    <w:rsid w:val="008451CF"/>
    <w:rsid w:val="008606FF"/>
    <w:rsid w:val="00867CB1"/>
    <w:rsid w:val="00872553"/>
    <w:rsid w:val="008752DD"/>
    <w:rsid w:val="00877165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912626"/>
    <w:rsid w:val="00920153"/>
    <w:rsid w:val="00942979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05D9"/>
    <w:rsid w:val="009A5B90"/>
    <w:rsid w:val="009B0621"/>
    <w:rsid w:val="009B20EF"/>
    <w:rsid w:val="009B7E2B"/>
    <w:rsid w:val="009C53B8"/>
    <w:rsid w:val="009D1C8C"/>
    <w:rsid w:val="009E02C4"/>
    <w:rsid w:val="009E03C2"/>
    <w:rsid w:val="00A1487C"/>
    <w:rsid w:val="00A156DD"/>
    <w:rsid w:val="00A20785"/>
    <w:rsid w:val="00A22209"/>
    <w:rsid w:val="00A31016"/>
    <w:rsid w:val="00A455BC"/>
    <w:rsid w:val="00A840C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E7C"/>
    <w:rsid w:val="00B26BD2"/>
    <w:rsid w:val="00B31B3C"/>
    <w:rsid w:val="00B47CC0"/>
    <w:rsid w:val="00B500D2"/>
    <w:rsid w:val="00B668A7"/>
    <w:rsid w:val="00B83296"/>
    <w:rsid w:val="00B856A2"/>
    <w:rsid w:val="00B91B32"/>
    <w:rsid w:val="00B960E4"/>
    <w:rsid w:val="00BA15D7"/>
    <w:rsid w:val="00BB3162"/>
    <w:rsid w:val="00BB4BFD"/>
    <w:rsid w:val="00BB6404"/>
    <w:rsid w:val="00BC1AA8"/>
    <w:rsid w:val="00BC2408"/>
    <w:rsid w:val="00BC3D9D"/>
    <w:rsid w:val="00BC7E07"/>
    <w:rsid w:val="00BD1A0F"/>
    <w:rsid w:val="00BD6C68"/>
    <w:rsid w:val="00BE3E35"/>
    <w:rsid w:val="00BF167C"/>
    <w:rsid w:val="00BF7107"/>
    <w:rsid w:val="00C01360"/>
    <w:rsid w:val="00C04BBF"/>
    <w:rsid w:val="00C20D29"/>
    <w:rsid w:val="00C31382"/>
    <w:rsid w:val="00C329BB"/>
    <w:rsid w:val="00C36ADC"/>
    <w:rsid w:val="00C37522"/>
    <w:rsid w:val="00C41BF5"/>
    <w:rsid w:val="00C448C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E47C7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42B62"/>
    <w:rsid w:val="00D477C1"/>
    <w:rsid w:val="00D63747"/>
    <w:rsid w:val="00D67A86"/>
    <w:rsid w:val="00D71C47"/>
    <w:rsid w:val="00D74DEC"/>
    <w:rsid w:val="00D7658D"/>
    <w:rsid w:val="00D830B0"/>
    <w:rsid w:val="00D92646"/>
    <w:rsid w:val="00D93897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4AE3"/>
    <w:rsid w:val="00EC667E"/>
    <w:rsid w:val="00ED2F91"/>
    <w:rsid w:val="00EE7C7C"/>
    <w:rsid w:val="00EF7A39"/>
    <w:rsid w:val="00F031B8"/>
    <w:rsid w:val="00F1313D"/>
    <w:rsid w:val="00F133CE"/>
    <w:rsid w:val="00F17982"/>
    <w:rsid w:val="00F3116E"/>
    <w:rsid w:val="00F32C9C"/>
    <w:rsid w:val="00F363B6"/>
    <w:rsid w:val="00F410A3"/>
    <w:rsid w:val="00F762FE"/>
    <w:rsid w:val="00F910DB"/>
    <w:rsid w:val="00F9346A"/>
    <w:rsid w:val="00F9735A"/>
    <w:rsid w:val="00FA021F"/>
    <w:rsid w:val="00FA18DF"/>
    <w:rsid w:val="00FA66FD"/>
    <w:rsid w:val="00FB34EF"/>
    <w:rsid w:val="00FB4E2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2771-71CD-4594-A1A3-37E7797E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Mutnanova</cp:lastModifiedBy>
  <cp:revision>3</cp:revision>
  <cp:lastPrinted>2023-01-24T08:47:00Z</cp:lastPrinted>
  <dcterms:created xsi:type="dcterms:W3CDTF">2023-08-17T14:26:00Z</dcterms:created>
  <dcterms:modified xsi:type="dcterms:W3CDTF">2024-01-22T12:50:00Z</dcterms:modified>
</cp:coreProperties>
</file>