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67ACAB86" w:rsidR="000E05DA" w:rsidRDefault="000E05DA" w:rsidP="00527DA2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SKUEV03</w:t>
      </w:r>
      <w:r w:rsidR="000560C8">
        <w:rPr>
          <w:b/>
          <w:sz w:val="28"/>
          <w:szCs w:val="28"/>
          <w:lang w:eastAsia="cs-CZ"/>
        </w:rPr>
        <w:t>7</w:t>
      </w:r>
      <w:r w:rsidR="008E0E74">
        <w:rPr>
          <w:b/>
          <w:sz w:val="28"/>
          <w:szCs w:val="28"/>
          <w:lang w:eastAsia="cs-CZ"/>
        </w:rPr>
        <w:t>9</w:t>
      </w:r>
      <w:r>
        <w:rPr>
          <w:b/>
          <w:sz w:val="28"/>
          <w:szCs w:val="28"/>
          <w:lang w:eastAsia="cs-CZ"/>
        </w:rPr>
        <w:t xml:space="preserve"> </w:t>
      </w:r>
      <w:proofErr w:type="spellStart"/>
      <w:r w:rsidR="008E0E74">
        <w:rPr>
          <w:b/>
          <w:sz w:val="28"/>
          <w:szCs w:val="28"/>
          <w:lang w:eastAsia="cs-CZ"/>
        </w:rPr>
        <w:t>Kobela</w:t>
      </w:r>
      <w:proofErr w:type="spellEnd"/>
    </w:p>
    <w:p w14:paraId="6DE8C982" w14:textId="663D202D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154D7DBC" w14:textId="77777777" w:rsidR="008E0E74" w:rsidRDefault="008E0E74" w:rsidP="00BA1794">
      <w:pPr>
        <w:pStyle w:val="Zkladntext"/>
        <w:widowControl w:val="0"/>
        <w:spacing w:after="0"/>
        <w:jc w:val="both"/>
        <w:rPr>
          <w:b/>
          <w:color w:val="000000"/>
          <w:shd w:val="clear" w:color="auto" w:fill="FFFFFF"/>
        </w:rPr>
      </w:pPr>
      <w:r w:rsidRPr="00FA18DF">
        <w:rPr>
          <w:color w:val="000000"/>
        </w:rPr>
        <w:t>Zachovanie stavu biotopu</w:t>
      </w:r>
      <w:r>
        <w:rPr>
          <w:color w:val="000000"/>
        </w:rPr>
        <w:t xml:space="preserve"> </w:t>
      </w:r>
      <w:r w:rsidRPr="003F392A">
        <w:rPr>
          <w:b/>
          <w:color w:val="000000"/>
        </w:rPr>
        <w:t xml:space="preserve">Ls3.1 </w:t>
      </w:r>
      <w:r w:rsidRPr="003F392A">
        <w:rPr>
          <w:b/>
          <w:color w:val="000000"/>
          <w:shd w:val="clear" w:color="auto" w:fill="FFFFFF"/>
        </w:rPr>
        <w:t>(</w:t>
      </w:r>
      <w:r w:rsidRPr="003F392A">
        <w:rPr>
          <w:b/>
          <w:color w:val="000000"/>
          <w:lang w:eastAsia="sk-SK"/>
        </w:rPr>
        <w:t>91H0*</w:t>
      </w:r>
      <w:r w:rsidRPr="003F392A">
        <w:rPr>
          <w:b/>
          <w:color w:val="000000"/>
          <w:shd w:val="clear" w:color="auto" w:fill="FFFFFF"/>
        </w:rPr>
        <w:t xml:space="preserve">) </w:t>
      </w:r>
      <w:r w:rsidRPr="003F392A">
        <w:rPr>
          <w:b/>
        </w:rPr>
        <w:t>Teplomilné panónske dubové lesy</w:t>
      </w:r>
      <w:r w:rsidRPr="00FA18DF">
        <w:rPr>
          <w:color w:val="000000"/>
        </w:rPr>
        <w:t xml:space="preserve"> </w:t>
      </w:r>
      <w:r w:rsidRPr="00775056">
        <w:rPr>
          <w:color w:val="000000"/>
        </w:rPr>
        <w:t>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7"/>
        <w:gridCol w:w="1273"/>
        <w:gridCol w:w="1532"/>
        <w:gridCol w:w="3753"/>
      </w:tblGrid>
      <w:tr w:rsidR="008E0E74" w:rsidRPr="00870D1F" w14:paraId="071FFDA3" w14:textId="77777777" w:rsidTr="5973E6B1">
        <w:trPr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597B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A8C3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1BF4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34B0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E0E74" w:rsidRPr="00870D1F" w14:paraId="7CDC6B3D" w14:textId="77777777" w:rsidTr="5973E6B1">
        <w:trPr>
          <w:trHeight w:val="34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0471" w14:textId="77777777" w:rsidR="008E0E74" w:rsidRPr="00870D1F" w:rsidRDefault="008E0E74" w:rsidP="00BA1794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6606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E17F" w14:textId="3C486E1A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C5F1" w14:textId="77777777" w:rsidR="008E0E74" w:rsidRPr="00870D1F" w:rsidRDefault="008E0E74" w:rsidP="00BA1794">
            <w:pPr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Dosiahnuť </w:t>
            </w:r>
            <w:r>
              <w:rPr>
                <w:color w:val="000000"/>
                <w:sz w:val="18"/>
                <w:szCs w:val="18"/>
              </w:rPr>
              <w:t xml:space="preserve">udržanie </w:t>
            </w:r>
            <w:r w:rsidRPr="00870D1F">
              <w:rPr>
                <w:color w:val="000000"/>
                <w:sz w:val="18"/>
                <w:szCs w:val="18"/>
              </w:rPr>
              <w:t>výmery biotopu.</w:t>
            </w:r>
          </w:p>
        </w:tc>
      </w:tr>
      <w:tr w:rsidR="008E0E74" w:rsidRPr="00870D1F" w14:paraId="067D4C7B" w14:textId="77777777" w:rsidTr="5973E6B1">
        <w:trPr>
          <w:trHeight w:val="17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084F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8FFF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70D1F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068D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color w:val="000000"/>
                <w:sz w:val="18"/>
                <w:szCs w:val="18"/>
              </w:rPr>
              <w:t>najmenej 80 %</w:t>
            </w:r>
          </w:p>
          <w:p w14:paraId="459F0BB1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4F2F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183A754D" w14:textId="77777777" w:rsidR="008E0E74" w:rsidRPr="00870D1F" w:rsidRDefault="008E0E74" w:rsidP="00BA1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870D1F">
              <w:rPr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i/>
                <w:color w:val="000000"/>
                <w:sz w:val="18"/>
                <w:szCs w:val="18"/>
              </w:rPr>
              <w:t>A .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C.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mahaleb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mas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&lt;10%,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F.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ornus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 &lt;10%,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b/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870D1F">
              <w:rPr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>*</w:t>
            </w:r>
          </w:p>
          <w:p w14:paraId="15B2B96F" w14:textId="77777777" w:rsidR="008E0E74" w:rsidRPr="00870D1F" w:rsidRDefault="008E0E74" w:rsidP="00BA1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>, Q. 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>* 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color w:val="000000"/>
                <w:sz w:val="18"/>
                <w:szCs w:val="18"/>
              </w:rPr>
              <w:t>Q. 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robur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., 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>.,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870D1F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leavis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U. 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Viburnum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lantana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.</w:t>
            </w:r>
          </w:p>
          <w:p w14:paraId="0480879F" w14:textId="77777777" w:rsidR="008E0E74" w:rsidRPr="00870D1F" w:rsidRDefault="008E0E74" w:rsidP="00BA1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 xml:space="preserve"> a/alebo 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b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minimálne 30%)</w:t>
            </w:r>
          </w:p>
          <w:p w14:paraId="51DF81A4" w14:textId="77777777" w:rsidR="008E0E74" w:rsidRPr="00870D1F" w:rsidRDefault="008E0E74" w:rsidP="00BA1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8E0E74" w:rsidRPr="00870D1F" w14:paraId="650B0265" w14:textId="77777777" w:rsidTr="5973E6B1">
        <w:trPr>
          <w:trHeight w:val="173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C907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podrastu (</w:t>
            </w:r>
            <w:r w:rsidRPr="00870D1F">
              <w:rPr>
                <w:i/>
                <w:color w:val="000000"/>
                <w:sz w:val="18"/>
                <w:szCs w:val="18"/>
              </w:rPr>
              <w:t xml:space="preserve">bylín, krov,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machorastov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C9D0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1A37" w14:textId="77777777" w:rsidR="008E0E74" w:rsidRPr="00870D1F" w:rsidRDefault="008E0E74" w:rsidP="00BA1794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67CD" w14:textId="77777777" w:rsidR="008E0E74" w:rsidRPr="00870D1F" w:rsidRDefault="008E0E74" w:rsidP="00BA1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6C0709AC" w14:textId="5AD9C257" w:rsidR="008E0E74" w:rsidRPr="00870D1F" w:rsidRDefault="008E0E74" w:rsidP="00BA1794">
            <w:pPr>
              <w:spacing w:after="0" w:line="240" w:lineRule="auto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Brachypodium</w:t>
            </w:r>
            <w:proofErr w:type="spellEnd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pinnatum</w:t>
            </w:r>
            <w:proofErr w:type="spellEnd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Carex</w:t>
            </w:r>
            <w:proofErr w:type="spellEnd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humilis</w:t>
            </w:r>
            <w:proofErr w:type="spellEnd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C. 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michelii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Clematis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recta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Feastuca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pallens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, F. 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pseudodalmatica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Galium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glaucum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Geranium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sanguineum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Inula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hirta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Lithospermum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purpurocaeruleum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Melica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uniflora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Melitis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melissophyllum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Sesleria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albicans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Silene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nemoralis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Stachys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recta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Tithymalus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epithymoides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Veronica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teucrium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Vincetoxicum</w:t>
            </w:r>
            <w:proofErr w:type="spellEnd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73E6B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hirundinaria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 xml:space="preserve">, Viola </w:t>
            </w:r>
            <w:proofErr w:type="spellStart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hirta</w:t>
            </w:r>
            <w:proofErr w:type="spellEnd"/>
            <w:r w:rsidRPr="5973E6B1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8E0E74" w:rsidRPr="00870D1F" w14:paraId="787049B1" w14:textId="77777777" w:rsidTr="5973E6B1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C0B8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70D1F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3F7E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86F0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66793" w14:textId="77777777" w:rsidR="008E0E74" w:rsidRPr="00870D1F" w:rsidRDefault="008E0E74" w:rsidP="00BA1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>) a bylín (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870D1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870D1F">
              <w:rPr>
                <w:color w:val="000000"/>
                <w:sz w:val="18"/>
                <w:szCs w:val="18"/>
              </w:rPr>
              <w:t>)</w:t>
            </w:r>
          </w:p>
        </w:tc>
      </w:tr>
      <w:tr w:rsidR="008E0E74" w:rsidRPr="00870D1F" w14:paraId="3436824B" w14:textId="77777777" w:rsidTr="5973E6B1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FC99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1F45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m</w:t>
            </w:r>
            <w:r w:rsidRPr="00870D1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81EB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najmenej 40</w:t>
            </w:r>
          </w:p>
          <w:p w14:paraId="3812E4C5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7DF2F95" w14:textId="77777777" w:rsidR="008E0E74" w:rsidRPr="00870D1F" w:rsidRDefault="008E0E74" w:rsidP="00BA1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31550C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0D1F">
              <w:rPr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7798991A" w14:textId="77777777" w:rsidR="008E0E74" w:rsidRPr="00870D1F" w:rsidRDefault="008E0E74" w:rsidP="00BA17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3D1277EE" w14:textId="43ABF898" w:rsidR="008E0E74" w:rsidRDefault="008E0E74" w:rsidP="00BA1794">
      <w:pPr>
        <w:pStyle w:val="Zkladntext"/>
        <w:widowControl w:val="0"/>
        <w:spacing w:after="0"/>
        <w:jc w:val="both"/>
        <w:rPr>
          <w:lang w:val="sk-SK"/>
        </w:rPr>
      </w:pPr>
    </w:p>
    <w:p w14:paraId="5F3E1A8E" w14:textId="1EA42F42" w:rsidR="008E0E74" w:rsidRDefault="008E0E74" w:rsidP="00BA1794">
      <w:pPr>
        <w:spacing w:after="0"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 w:rsidRPr="0028246D">
        <w:rPr>
          <w:b/>
          <w:color w:val="000000"/>
          <w:szCs w:val="24"/>
        </w:rPr>
        <w:t>Tr5 (</w:t>
      </w:r>
      <w:r>
        <w:rPr>
          <w:b/>
          <w:color w:val="000000"/>
          <w:szCs w:val="24"/>
        </w:rPr>
        <w:t>40A0*</w:t>
      </w:r>
      <w:r w:rsidRPr="0028246D">
        <w:rPr>
          <w:b/>
          <w:color w:val="000000"/>
          <w:szCs w:val="24"/>
        </w:rPr>
        <w:t xml:space="preserve">) </w:t>
      </w:r>
      <w:proofErr w:type="spellStart"/>
      <w:r>
        <w:rPr>
          <w:b/>
          <w:color w:val="000000"/>
          <w:szCs w:val="24"/>
        </w:rPr>
        <w:t>Xerotermné</w:t>
      </w:r>
      <w:proofErr w:type="spellEnd"/>
      <w:r>
        <w:rPr>
          <w:b/>
          <w:color w:val="000000"/>
          <w:szCs w:val="24"/>
        </w:rPr>
        <w:t xml:space="preserve"> kroviny </w:t>
      </w:r>
      <w:r>
        <w:rPr>
          <w:color w:val="000000"/>
          <w:szCs w:val="24"/>
        </w:rPr>
        <w:t xml:space="preserve">za splnenia nasledovných atribútov: </w:t>
      </w: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249"/>
        <w:gridCol w:w="1223"/>
        <w:gridCol w:w="4536"/>
      </w:tblGrid>
      <w:tr w:rsidR="008E0E74" w:rsidRPr="00476F0C" w14:paraId="6A568616" w14:textId="77777777" w:rsidTr="5973E6B1">
        <w:trPr>
          <w:trHeight w:val="705"/>
        </w:trPr>
        <w:tc>
          <w:tcPr>
            <w:tcW w:w="2774" w:type="dxa"/>
            <w:shd w:val="clear" w:color="auto" w:fill="FFFFFF" w:themeFill="background1"/>
            <w:hideMark/>
          </w:tcPr>
          <w:p w14:paraId="6C8D91ED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14:paraId="0E2410DC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23" w:type="dxa"/>
            <w:shd w:val="clear" w:color="auto" w:fill="FFFFFF" w:themeFill="background1"/>
            <w:hideMark/>
          </w:tcPr>
          <w:p w14:paraId="18A780CC" w14:textId="77777777" w:rsidR="008E0E74" w:rsidRPr="00476F0C" w:rsidRDefault="008E0E74" w:rsidP="00BA179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14:paraId="6D04C06A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8E0E74" w:rsidRPr="00476F0C" w14:paraId="3ACB409B" w14:textId="77777777" w:rsidTr="5973E6B1">
        <w:trPr>
          <w:trHeight w:val="290"/>
        </w:trPr>
        <w:tc>
          <w:tcPr>
            <w:tcW w:w="2774" w:type="dxa"/>
            <w:shd w:val="clear" w:color="auto" w:fill="FFFFFF" w:themeFill="background1"/>
            <w:vAlign w:val="bottom"/>
            <w:hideMark/>
          </w:tcPr>
          <w:p w14:paraId="1462E345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49" w:type="dxa"/>
            <w:shd w:val="clear" w:color="auto" w:fill="FFFFFF" w:themeFill="background1"/>
            <w:vAlign w:val="bottom"/>
            <w:hideMark/>
          </w:tcPr>
          <w:p w14:paraId="30B58969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3F655597" w14:textId="66D8A583" w:rsidR="008E0E74" w:rsidRPr="00476F0C" w:rsidRDefault="008E0E74" w:rsidP="00BA17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4536" w:type="dxa"/>
            <w:shd w:val="clear" w:color="auto" w:fill="FFFFFF" w:themeFill="background1"/>
            <w:vAlign w:val="bottom"/>
            <w:hideMark/>
          </w:tcPr>
          <w:p w14:paraId="2D915088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Udržanie súč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asnej výmery biotopu</w:t>
            </w:r>
          </w:p>
        </w:tc>
      </w:tr>
      <w:tr w:rsidR="008E0E74" w:rsidRPr="00476F0C" w14:paraId="11EBC5B1" w14:textId="77777777" w:rsidTr="5973E6B1">
        <w:trPr>
          <w:trHeight w:val="699"/>
        </w:trPr>
        <w:tc>
          <w:tcPr>
            <w:tcW w:w="2774" w:type="dxa"/>
            <w:shd w:val="clear" w:color="auto" w:fill="FFFFFF" w:themeFill="background1"/>
            <w:vAlign w:val="bottom"/>
            <w:hideMark/>
          </w:tcPr>
          <w:p w14:paraId="227A53ED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 w:themeFill="background1"/>
            <w:vAlign w:val="bottom"/>
            <w:hideMark/>
          </w:tcPr>
          <w:p w14:paraId="49F267DD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počet druhov/16 m</w:t>
            </w:r>
            <w:r w:rsidRPr="00476F0C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3" w:type="dxa"/>
            <w:shd w:val="clear" w:color="auto" w:fill="FFFFFF" w:themeFill="background1"/>
            <w:vAlign w:val="bottom"/>
            <w:hideMark/>
          </w:tcPr>
          <w:p w14:paraId="73876F09" w14:textId="77777777" w:rsidR="008E0E74" w:rsidRPr="00476F0C" w:rsidRDefault="008E0E74" w:rsidP="00BA17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najmenej 5 druhov</w:t>
            </w:r>
          </w:p>
        </w:tc>
        <w:tc>
          <w:tcPr>
            <w:tcW w:w="4536" w:type="dxa"/>
            <w:shd w:val="clear" w:color="auto" w:fill="FFFFFF" w:themeFill="background1"/>
            <w:vAlign w:val="bottom"/>
            <w:hideMark/>
          </w:tcPr>
          <w:p w14:paraId="2DBB9FBC" w14:textId="1419AA35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5973E6B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fruticosa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Cornus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mas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Cotoneaster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integerrimus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Crataegus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monogyna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Euonymus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verrucosus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ornus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Geranium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sanguineum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Inula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ensifolia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Isatis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campestris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Prunus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spinosa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Quercus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pubescens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Rosa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galica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Rosa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pimpinellifolia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Staphylea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pinnata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Viccia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tenuifolia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Vincetoxicum</w:t>
            </w:r>
            <w:proofErr w:type="spellEnd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973E6B1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hirundinaria</w:t>
            </w:r>
            <w:proofErr w:type="spellEnd"/>
          </w:p>
        </w:tc>
      </w:tr>
      <w:tr w:rsidR="008E0E74" w:rsidRPr="00476F0C" w14:paraId="32CA9874" w14:textId="77777777" w:rsidTr="5973E6B1">
        <w:trPr>
          <w:trHeight w:val="290"/>
        </w:trPr>
        <w:tc>
          <w:tcPr>
            <w:tcW w:w="2774" w:type="dxa"/>
            <w:shd w:val="clear" w:color="auto" w:fill="FFFFFF" w:themeFill="background1"/>
            <w:vAlign w:val="bottom"/>
            <w:hideMark/>
          </w:tcPr>
          <w:p w14:paraId="1D0BDB57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Vertikálna štruktúra biotopu</w:t>
            </w:r>
          </w:p>
        </w:tc>
        <w:tc>
          <w:tcPr>
            <w:tcW w:w="1249" w:type="dxa"/>
            <w:shd w:val="clear" w:color="auto" w:fill="FFFFFF" w:themeFill="background1"/>
            <w:vAlign w:val="bottom"/>
            <w:hideMark/>
          </w:tcPr>
          <w:p w14:paraId="6AEA4962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percento pokrytia krovín a drevín /plocha biotopu</w:t>
            </w:r>
          </w:p>
        </w:tc>
        <w:tc>
          <w:tcPr>
            <w:tcW w:w="1223" w:type="dxa"/>
            <w:shd w:val="clear" w:color="auto" w:fill="FFFFFF" w:themeFill="background1"/>
            <w:vAlign w:val="bottom"/>
            <w:hideMark/>
          </w:tcPr>
          <w:p w14:paraId="390E17F5" w14:textId="77777777" w:rsidR="008E0E74" w:rsidRPr="00476F0C" w:rsidRDefault="008E0E74" w:rsidP="00BA17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viac ako 50 % krovín, menej ako 20 % drevín</w:t>
            </w:r>
          </w:p>
        </w:tc>
        <w:tc>
          <w:tcPr>
            <w:tcW w:w="4536" w:type="dxa"/>
            <w:shd w:val="clear" w:color="auto" w:fill="FFFFFF" w:themeFill="background1"/>
            <w:vAlign w:val="bottom"/>
            <w:hideMark/>
          </w:tcPr>
          <w:p w14:paraId="6CB9E672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8E0E74" w:rsidRPr="00476F0C" w14:paraId="703E33F4" w14:textId="77777777" w:rsidTr="5973E6B1">
        <w:trPr>
          <w:trHeight w:val="850"/>
        </w:trPr>
        <w:tc>
          <w:tcPr>
            <w:tcW w:w="2774" w:type="dxa"/>
            <w:shd w:val="clear" w:color="auto" w:fill="FFFFFF" w:themeFill="background1"/>
            <w:vAlign w:val="bottom"/>
            <w:hideMark/>
          </w:tcPr>
          <w:p w14:paraId="2147697E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476F0C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476F0C">
              <w:rPr>
                <w:rFonts w:eastAsia="Times New Roman"/>
                <w:color w:val="000000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49" w:type="dxa"/>
            <w:shd w:val="clear" w:color="auto" w:fill="FFFFFF" w:themeFill="background1"/>
            <w:vAlign w:val="bottom"/>
            <w:hideMark/>
          </w:tcPr>
          <w:p w14:paraId="4BA6C7F6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476F0C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3" w:type="dxa"/>
            <w:shd w:val="clear" w:color="auto" w:fill="FFFFFF" w:themeFill="background1"/>
            <w:vAlign w:val="bottom"/>
            <w:hideMark/>
          </w:tcPr>
          <w:p w14:paraId="58520341" w14:textId="77777777" w:rsidR="008E0E74" w:rsidRPr="00476F0C" w:rsidRDefault="008E0E74" w:rsidP="00BA17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menej ako 1 %</w:t>
            </w:r>
          </w:p>
        </w:tc>
        <w:tc>
          <w:tcPr>
            <w:tcW w:w="4536" w:type="dxa"/>
            <w:shd w:val="clear" w:color="auto" w:fill="FFFFFF" w:themeFill="background1"/>
            <w:vAlign w:val="bottom"/>
            <w:hideMark/>
          </w:tcPr>
          <w:p w14:paraId="5D53BB1D" w14:textId="77777777" w:rsidR="008E0E74" w:rsidRPr="00476F0C" w:rsidRDefault="008E0E74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</w:rPr>
              <w:t>Minimálne zastúpenie expanzívnych druhov</w:t>
            </w:r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>Calamagrostis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>epigejos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F0C">
              <w:rPr>
                <w:rFonts w:eastAsia="Times New Roman"/>
                <w:color w:val="000000"/>
                <w:sz w:val="20"/>
                <w:szCs w:val="20"/>
              </w:rPr>
              <w:t>minim</w:t>
            </w:r>
            <w:proofErr w:type="spellEnd"/>
            <w:r w:rsidRPr="00476F0C">
              <w:rPr>
                <w:rFonts w:eastAsia="Times New Roman"/>
                <w:color w:val="000000"/>
                <w:sz w:val="20"/>
                <w:szCs w:val="20"/>
              </w:rPr>
              <w:t xml:space="preserve">. zastúpenie inváznych druhov (napr.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Aster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Solidago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giganthea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Ailanthus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altissima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476F0C">
              <w:rPr>
                <w:color w:val="000000"/>
                <w:sz w:val="20"/>
                <w:szCs w:val="20"/>
              </w:rPr>
              <w:t>).</w:t>
            </w:r>
          </w:p>
        </w:tc>
      </w:tr>
    </w:tbl>
    <w:p w14:paraId="376CAD38" w14:textId="77777777" w:rsidR="008E0E74" w:rsidRDefault="008E0E74" w:rsidP="00BA1794">
      <w:pPr>
        <w:pStyle w:val="Zkladntext"/>
        <w:widowControl w:val="0"/>
        <w:spacing w:after="0"/>
        <w:jc w:val="both"/>
        <w:rPr>
          <w:lang w:val="sk-SK"/>
        </w:rPr>
      </w:pPr>
    </w:p>
    <w:p w14:paraId="53AF56DE" w14:textId="2A3136DD" w:rsidR="000E05DA" w:rsidRPr="00626A09" w:rsidRDefault="002817B8" w:rsidP="00BA1794">
      <w:pPr>
        <w:pStyle w:val="Zkladntext"/>
        <w:widowControl w:val="0"/>
        <w:spacing w:after="0"/>
        <w:jc w:val="both"/>
      </w:pPr>
      <w:r>
        <w:rPr>
          <w:lang w:val="sk-SK"/>
        </w:rPr>
        <w:t>Zachovanie</w:t>
      </w:r>
      <w:r w:rsidR="000E05DA">
        <w:rPr>
          <w:lang w:val="sk-SK"/>
        </w:rPr>
        <w:t xml:space="preserve"> stav</w:t>
      </w:r>
      <w:r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BA179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4F81718B" w:rsidR="000E05DA" w:rsidRPr="003509FA" w:rsidRDefault="00E902BF" w:rsidP="00BA179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8E0E74">
              <w:rPr>
                <w:rFonts w:eastAsia="Times New Roman"/>
                <w:sz w:val="18"/>
                <w:szCs w:val="18"/>
              </w:rPr>
              <w:t>,9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0FE3A3F1" w:rsidR="000E05DA" w:rsidRPr="003509FA" w:rsidRDefault="00BA1794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BA1794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BA1794" w:rsidRPr="003509FA" w:rsidRDefault="00BA1794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BA1794" w:rsidRPr="003509FA" w:rsidRDefault="00BA1794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BA1794" w:rsidRPr="003509FA" w:rsidRDefault="00BA1794" w:rsidP="00BA179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02CAEE4E" w:rsidR="00BA1794" w:rsidRPr="003509FA" w:rsidRDefault="00BA1794" w:rsidP="00BA17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77777777" w:rsidR="000E05DA" w:rsidRDefault="000E05DA" w:rsidP="00BA1794">
      <w:pPr>
        <w:spacing w:after="0" w:line="240" w:lineRule="auto"/>
        <w:ind w:left="360"/>
        <w:jc w:val="both"/>
      </w:pPr>
    </w:p>
    <w:p w14:paraId="6492A01A" w14:textId="68E03D3E" w:rsidR="00F436A8" w:rsidRPr="00911FBF" w:rsidRDefault="002817B8" w:rsidP="00BA1794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F436A8" w:rsidRPr="00B6615B" w14:paraId="6C0A9016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FADB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959A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FF9F5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4EAA4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14:paraId="286F13F9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6809E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12B80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EC24F" w14:textId="024CD07D" w:rsidR="00F436A8" w:rsidRPr="00B6615B" w:rsidRDefault="00E902BF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  <w:r w:rsidR="00F436A8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57B8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14:paraId="5F3F72AC" w14:textId="77777777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E0109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A9E58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7B47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F616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14:paraId="1C4593A0" w14:textId="77777777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11AB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59726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47855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FB17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14:paraId="233F3414" w14:textId="77777777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2BAE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181C9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D21C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710F" w14:textId="77777777" w:rsidR="00F436A8" w:rsidRPr="00B6615B" w:rsidRDefault="00F436A8" w:rsidP="00BA1794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4ABD9EC2" w14:textId="1BB5B7B8" w:rsidR="00F436A8" w:rsidRDefault="00F436A8" w:rsidP="00BA1794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15091028" w14:textId="26A5261D" w:rsidR="00C4029A" w:rsidRDefault="00C4029A" w:rsidP="00BA1794">
      <w:pPr>
        <w:pStyle w:val="Zkladntext"/>
        <w:widowControl w:val="0"/>
        <w:spacing w:after="0"/>
        <w:jc w:val="both"/>
      </w:pPr>
      <w:r>
        <w:rPr>
          <w:lang w:val="sk-SK"/>
        </w:rPr>
        <w:t xml:space="preserve">Zachovanie </w:t>
      </w:r>
      <w:r>
        <w:t xml:space="preserve">stavu druhu </w:t>
      </w:r>
      <w:proofErr w:type="spellStart"/>
      <w:r w:rsidRPr="00C4029A">
        <w:rPr>
          <w:b/>
          <w:i/>
        </w:rPr>
        <w:t>Pulsatilla</w:t>
      </w:r>
      <w:proofErr w:type="spellEnd"/>
      <w:r w:rsidRPr="00C4029A">
        <w:rPr>
          <w:b/>
          <w:i/>
        </w:rPr>
        <w:t xml:space="preserve"> </w:t>
      </w:r>
      <w:proofErr w:type="spellStart"/>
      <w:r w:rsidRPr="00C4029A">
        <w:rPr>
          <w:b/>
          <w:i/>
          <w:lang w:val="sk-SK"/>
        </w:rPr>
        <w:t>grandis</w:t>
      </w:r>
      <w:proofErr w:type="spellEnd"/>
      <w:r>
        <w:rPr>
          <w:i/>
          <w:lang w:val="sk-SK"/>
        </w:rPr>
        <w:t xml:space="preserve"> </w:t>
      </w:r>
      <w:r w:rsidRPr="00510442">
        <w:t xml:space="preserve">za splnenia nasledovných </w:t>
      </w:r>
      <w:r>
        <w:t>atribútov:</w:t>
      </w:r>
    </w:p>
    <w:tbl>
      <w:tblPr>
        <w:tblW w:w="5338" w:type="pct"/>
        <w:tblInd w:w="-2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9"/>
        <w:gridCol w:w="1464"/>
        <w:gridCol w:w="2837"/>
        <w:gridCol w:w="3865"/>
      </w:tblGrid>
      <w:tr w:rsidR="00C4029A" w:rsidRPr="00125304" w14:paraId="0648CEC8" w14:textId="77777777" w:rsidTr="5973E6B1">
        <w:trPr>
          <w:trHeight w:val="3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F821" w14:textId="77777777" w:rsidR="00C4029A" w:rsidRPr="00125304" w:rsidRDefault="00C4029A" w:rsidP="00BA179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25304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EFAB" w14:textId="77777777" w:rsidR="00C4029A" w:rsidRPr="00125304" w:rsidRDefault="00C4029A" w:rsidP="00BA179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25304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941" w14:textId="77777777" w:rsidR="00C4029A" w:rsidRPr="00125304" w:rsidRDefault="00C4029A" w:rsidP="00BA179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25304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4D0E" w14:textId="77777777" w:rsidR="00C4029A" w:rsidRPr="00125304" w:rsidRDefault="00C4029A" w:rsidP="00BA179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25304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4029A" w:rsidRPr="00125304" w14:paraId="40D2C0F6" w14:textId="77777777" w:rsidTr="5973E6B1">
        <w:trPr>
          <w:trHeight w:val="27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8714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DB7D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počet jedincov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05A" w14:textId="3E24E80C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5973E6B1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5369528E" w:rsidRPr="5973E6B1">
              <w:rPr>
                <w:color w:val="000000" w:themeColor="text1"/>
                <w:sz w:val="20"/>
                <w:szCs w:val="20"/>
              </w:rPr>
              <w:t>2</w:t>
            </w:r>
            <w:r w:rsidRPr="5973E6B1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03A6" w14:textId="4004CF6A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5973E6B1">
              <w:rPr>
                <w:color w:val="000000" w:themeColor="text1"/>
                <w:sz w:val="20"/>
                <w:szCs w:val="20"/>
              </w:rPr>
              <w:t xml:space="preserve">Zachovanie populácie druhu na súčasných </w:t>
            </w:r>
            <w:r w:rsidR="33E7AB86" w:rsidRPr="5973E6B1">
              <w:rPr>
                <w:color w:val="000000" w:themeColor="text1"/>
                <w:sz w:val="20"/>
                <w:szCs w:val="20"/>
              </w:rPr>
              <w:t>1</w:t>
            </w:r>
            <w:r w:rsidRPr="5973E6B1">
              <w:rPr>
                <w:color w:val="000000" w:themeColor="text1"/>
                <w:sz w:val="20"/>
                <w:szCs w:val="20"/>
              </w:rPr>
              <w:t xml:space="preserve">000 až </w:t>
            </w:r>
            <w:r w:rsidR="728867C7" w:rsidRPr="5973E6B1">
              <w:rPr>
                <w:color w:val="000000" w:themeColor="text1"/>
                <w:sz w:val="20"/>
                <w:szCs w:val="20"/>
              </w:rPr>
              <w:t>3</w:t>
            </w:r>
            <w:r w:rsidRPr="5973E6B1">
              <w:rPr>
                <w:color w:val="000000" w:themeColor="text1"/>
                <w:sz w:val="20"/>
                <w:szCs w:val="20"/>
              </w:rPr>
              <w:t>000 jedincov druhu.</w:t>
            </w:r>
          </w:p>
        </w:tc>
      </w:tr>
      <w:tr w:rsidR="00C4029A" w:rsidRPr="00125304" w14:paraId="1642B65C" w14:textId="77777777" w:rsidTr="5973E6B1">
        <w:trPr>
          <w:trHeight w:val="2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660C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Veľkosť biotopu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BB8B" w14:textId="6A060093" w:rsidR="00C4029A" w:rsidRPr="00125304" w:rsidRDefault="00BA1794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="00C4029A" w:rsidRPr="5973E6B1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D9A" w14:textId="4ADAAA1C" w:rsidR="00C4029A" w:rsidRPr="00125304" w:rsidRDefault="06FB03B9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5973E6B1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1912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Udržať súčasnú výmeru biotopu druhu.</w:t>
            </w:r>
          </w:p>
        </w:tc>
      </w:tr>
      <w:tr w:rsidR="00C4029A" w:rsidRPr="00125304" w14:paraId="6EF69CFA" w14:textId="77777777" w:rsidTr="5973E6B1">
        <w:trPr>
          <w:trHeight w:val="93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B3C7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04A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Výskyt typických druhov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D28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Min. 3 druhy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F569" w14:textId="7BDDA60D" w:rsidR="00C4029A" w:rsidRPr="00BA1794" w:rsidRDefault="7661E7DB" w:rsidP="00BA1794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A1794">
              <w:rPr>
                <w:i/>
                <w:iCs/>
                <w:color w:val="333333"/>
                <w:sz w:val="19"/>
                <w:szCs w:val="19"/>
              </w:rPr>
              <w:t>Aster</w:t>
            </w:r>
            <w:proofErr w:type="spellEnd"/>
            <w:r w:rsidRPr="00BA1794">
              <w:rPr>
                <w:i/>
                <w:iCs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BA1794">
              <w:rPr>
                <w:i/>
                <w:iCs/>
                <w:color w:val="333333"/>
                <w:sz w:val="19"/>
                <w:szCs w:val="19"/>
              </w:rPr>
              <w:t>linosyris</w:t>
            </w:r>
            <w:proofErr w:type="spellEnd"/>
            <w:r w:rsidR="74DFC127" w:rsidRPr="00BA1794">
              <w:rPr>
                <w:i/>
                <w:iCs/>
                <w:color w:val="333333"/>
                <w:sz w:val="19"/>
                <w:szCs w:val="19"/>
              </w:rPr>
              <w:t xml:space="preserve">, </w:t>
            </w:r>
            <w:proofErr w:type="spellStart"/>
            <w:r w:rsidR="74DFC127" w:rsidRPr="00BA1794">
              <w:rPr>
                <w:i/>
                <w:iCs/>
                <w:color w:val="333333"/>
                <w:sz w:val="19"/>
                <w:szCs w:val="19"/>
              </w:rPr>
              <w:t>Galium</w:t>
            </w:r>
            <w:proofErr w:type="spellEnd"/>
            <w:r w:rsidR="74DFC127" w:rsidRPr="00BA1794">
              <w:rPr>
                <w:i/>
                <w:iCs/>
                <w:color w:val="333333"/>
                <w:sz w:val="19"/>
                <w:szCs w:val="19"/>
              </w:rPr>
              <w:t xml:space="preserve"> </w:t>
            </w:r>
            <w:proofErr w:type="spellStart"/>
            <w:r w:rsidR="74DFC127" w:rsidRPr="00BA1794">
              <w:rPr>
                <w:i/>
                <w:iCs/>
                <w:color w:val="333333"/>
                <w:sz w:val="19"/>
                <w:szCs w:val="19"/>
              </w:rPr>
              <w:t>glaucum</w:t>
            </w:r>
            <w:proofErr w:type="spellEnd"/>
            <w:r w:rsidR="74DFC127" w:rsidRPr="00BA1794">
              <w:rPr>
                <w:i/>
                <w:iCs/>
                <w:color w:val="333333"/>
                <w:sz w:val="19"/>
                <w:szCs w:val="19"/>
              </w:rPr>
              <w:t xml:space="preserve">, </w:t>
            </w:r>
            <w:proofErr w:type="spellStart"/>
            <w:r w:rsidR="74DFC127" w:rsidRPr="00BA1794">
              <w:rPr>
                <w:i/>
                <w:iCs/>
                <w:color w:val="333333"/>
                <w:sz w:val="19"/>
                <w:szCs w:val="19"/>
              </w:rPr>
              <w:t>Aster</w:t>
            </w:r>
            <w:proofErr w:type="spellEnd"/>
            <w:r w:rsidR="543233C0" w:rsidRPr="00BA1794">
              <w:rPr>
                <w:i/>
                <w:iCs/>
                <w:color w:val="333333"/>
                <w:sz w:val="19"/>
                <w:szCs w:val="19"/>
              </w:rPr>
              <w:t xml:space="preserve"> </w:t>
            </w:r>
            <w:proofErr w:type="spellStart"/>
            <w:r w:rsidR="543233C0" w:rsidRPr="00BA1794">
              <w:rPr>
                <w:i/>
                <w:iCs/>
                <w:color w:val="333333"/>
                <w:sz w:val="19"/>
                <w:szCs w:val="19"/>
              </w:rPr>
              <w:t>amellus</w:t>
            </w:r>
            <w:proofErr w:type="spellEnd"/>
          </w:p>
        </w:tc>
      </w:tr>
      <w:tr w:rsidR="00C4029A" w:rsidRPr="00125304" w14:paraId="705C554B" w14:textId="77777777" w:rsidTr="5973E6B1">
        <w:trPr>
          <w:trHeight w:val="23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08E0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3C24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125304">
              <w:rPr>
                <w:color w:val="000000"/>
                <w:sz w:val="20"/>
                <w:szCs w:val="20"/>
              </w:rPr>
              <w:t>sukcesných</w:t>
            </w:r>
            <w:proofErr w:type="spellEnd"/>
            <w:r w:rsidRPr="00125304">
              <w:rPr>
                <w:color w:val="000000"/>
                <w:sz w:val="20"/>
                <w:szCs w:val="20"/>
              </w:rPr>
              <w:t xml:space="preserve"> drevín %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DE7B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5304">
              <w:rPr>
                <w:color w:val="000000"/>
                <w:sz w:val="20"/>
                <w:szCs w:val="20"/>
              </w:rPr>
              <w:t>Menej ako 35 % drevín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17BB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125304">
              <w:rPr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125304">
              <w:rPr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125304">
              <w:rPr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C4029A" w:rsidRPr="00125304" w14:paraId="73E44B30" w14:textId="77777777" w:rsidTr="5973E6B1">
        <w:trPr>
          <w:trHeight w:val="23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1D3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563EF">
              <w:rPr>
                <w:sz w:val="18"/>
                <w:szCs w:val="18"/>
              </w:rPr>
              <w:t xml:space="preserve">Zastúpenie </w:t>
            </w:r>
            <w:proofErr w:type="spellStart"/>
            <w:r w:rsidRPr="009563EF">
              <w:rPr>
                <w:sz w:val="18"/>
                <w:szCs w:val="18"/>
              </w:rPr>
              <w:t>alochtónnych</w:t>
            </w:r>
            <w:proofErr w:type="spellEnd"/>
            <w:r w:rsidRPr="009563EF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4DA1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563EF">
              <w:rPr>
                <w:sz w:val="18"/>
                <w:szCs w:val="18"/>
              </w:rPr>
              <w:t>Percento  (%) pokrytia / ha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DF93F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C4F8" w14:textId="77777777" w:rsidR="00C4029A" w:rsidRPr="00125304" w:rsidRDefault="00C4029A" w:rsidP="00BA1794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2378BD">
              <w:rPr>
                <w:color w:val="333333"/>
                <w:sz w:val="20"/>
                <w:szCs w:val="20"/>
                <w:shd w:val="clear" w:color="auto" w:fill="FAFBFA"/>
              </w:rPr>
              <w:t xml:space="preserve">Minimálne </w:t>
            </w:r>
            <w:r>
              <w:rPr>
                <w:color w:val="333333"/>
                <w:sz w:val="20"/>
                <w:szCs w:val="20"/>
                <w:shd w:val="clear" w:color="auto" w:fill="FAFBFA"/>
              </w:rPr>
              <w:t xml:space="preserve">(žiadne) </w:t>
            </w:r>
            <w:r w:rsidRPr="002378BD">
              <w:rPr>
                <w:color w:val="333333"/>
                <w:sz w:val="20"/>
                <w:szCs w:val="20"/>
                <w:shd w:val="clear" w:color="auto" w:fill="FAFBFA"/>
              </w:rPr>
              <w:t>zastúpenie</w:t>
            </w:r>
            <w:r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5394F85E" w14:textId="77777777" w:rsidR="00C4029A" w:rsidRDefault="00C4029A" w:rsidP="00BA1794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0A1E7803" w14:textId="77777777" w:rsidR="00C4029A" w:rsidRDefault="00C4029A" w:rsidP="00BA1794">
      <w:pPr>
        <w:pStyle w:val="Zkladntext"/>
        <w:widowControl w:val="0"/>
        <w:spacing w:after="0"/>
        <w:jc w:val="both"/>
        <w:rPr>
          <w:lang w:val="sk-SK"/>
        </w:rPr>
      </w:pPr>
      <w:r>
        <w:rPr>
          <w:lang w:val="sk-SK"/>
        </w:rPr>
        <w:t xml:space="preserve">Zlepšenie </w:t>
      </w:r>
      <w:r>
        <w:t xml:space="preserve">stavu druhu </w:t>
      </w:r>
      <w:proofErr w:type="spellStart"/>
      <w:r>
        <w:rPr>
          <w:b/>
          <w:i/>
          <w:lang w:val="sk-SK"/>
        </w:rPr>
        <w:t>Colias</w:t>
      </w:r>
      <w:proofErr w:type="spellEnd"/>
      <w:r>
        <w:rPr>
          <w:b/>
          <w:i/>
          <w:lang w:val="sk-SK"/>
        </w:rPr>
        <w:t xml:space="preserve"> </w:t>
      </w:r>
      <w:proofErr w:type="spellStart"/>
      <w:r>
        <w:rPr>
          <w:b/>
          <w:i/>
          <w:lang w:val="sk-SK"/>
        </w:rPr>
        <w:t>myrmidone</w:t>
      </w:r>
      <w:proofErr w:type="spellEnd"/>
      <w:r>
        <w:rPr>
          <w:b/>
          <w:i/>
          <w:lang w:val="sk-SK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5292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328"/>
        <w:gridCol w:w="1620"/>
        <w:gridCol w:w="4876"/>
      </w:tblGrid>
      <w:tr w:rsidR="00BA1794" w:rsidRPr="00870D1F" w14:paraId="3FFF722C" w14:textId="77777777" w:rsidTr="00BA1794">
        <w:trPr>
          <w:trHeight w:val="35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AF5B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0C99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41EA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A346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BA1794" w:rsidRPr="00870D1F" w14:paraId="738754F7" w14:textId="77777777" w:rsidTr="00BA1794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F3C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50D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počet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jedincov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6EE9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CA8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Dosiahnutá zvýšená 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>veľkosť populác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ie, v súčasnosti odhadovaná 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do 1 jedinca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1794" w:rsidRPr="00870D1F" w14:paraId="16D96351" w14:textId="77777777" w:rsidTr="00BA1794">
        <w:trPr>
          <w:trHeight w:val="93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310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Rozloha biotopu výskytu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60E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4213E6CD">
              <w:rPr>
                <w:rFonts w:eastAsia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75F" w14:textId="0E94DDDD" w:rsidR="00C4029A" w:rsidRPr="00870D1F" w:rsidRDefault="1D323E0C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1D323E0C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1DF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Suchšie lesostepné a 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psienkové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spoločenstvá na spraši, dolomitoch alebo vápencoch,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mezofilné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extenzívne obhospodarované sady a pasienky (mierne svahovité).</w:t>
            </w:r>
          </w:p>
        </w:tc>
      </w:tr>
      <w:tr w:rsidR="00BA1794" w:rsidRPr="00870D1F" w14:paraId="12F97FB8" w14:textId="77777777" w:rsidTr="00BA1794">
        <w:trPr>
          <w:trHeight w:val="6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2F5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43F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Výskyt živných druhov rastlín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FD86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Zastúpenie živných druhov – viac ako 40 %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23D" w14:textId="77777777" w:rsidR="00C4029A" w:rsidRPr="00870D1F" w:rsidRDefault="00C4029A" w:rsidP="00BA17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Výskyt živných druhov –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zanoväť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nízka (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Cytisus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supinus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zanoväť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rakúska (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Cytisus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austriacus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</w:tc>
      </w:tr>
    </w:tbl>
    <w:p w14:paraId="08A57C5B" w14:textId="77777777" w:rsidR="00C4029A" w:rsidRDefault="00C4029A" w:rsidP="00BA1794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51D7EDF1" w14:textId="77777777" w:rsidR="00BA1794" w:rsidRDefault="00BA1794" w:rsidP="00BA1794">
      <w:pPr>
        <w:spacing w:after="0" w:line="240" w:lineRule="auto"/>
        <w:jc w:val="both"/>
        <w:rPr>
          <w:szCs w:val="24"/>
        </w:rPr>
      </w:pPr>
    </w:p>
    <w:p w14:paraId="4AB1DF07" w14:textId="0350E7C4" w:rsidR="000E05DA" w:rsidRDefault="00C65C57" w:rsidP="00BA1794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Zachovanie </w:t>
      </w:r>
      <w:r w:rsidR="000E05DA">
        <w:rPr>
          <w:szCs w:val="24"/>
        </w:rPr>
        <w:t>stav</w:t>
      </w:r>
      <w:r>
        <w:rPr>
          <w:szCs w:val="24"/>
        </w:rPr>
        <w:t>u</w:t>
      </w:r>
      <w:r w:rsidR="000E05DA">
        <w:rPr>
          <w:szCs w:val="24"/>
        </w:rPr>
        <w:t xml:space="preserve"> druhu</w:t>
      </w:r>
      <w:r w:rsidR="000E05DA" w:rsidRPr="009327A0">
        <w:rPr>
          <w:szCs w:val="24"/>
        </w:rPr>
        <w:t xml:space="preserve"> </w:t>
      </w:r>
      <w:r w:rsidR="000E05DA" w:rsidRPr="000E05DA">
        <w:rPr>
          <w:b/>
          <w:szCs w:val="24"/>
        </w:rPr>
        <w:t xml:space="preserve">spriadač </w:t>
      </w:r>
      <w:proofErr w:type="spellStart"/>
      <w:r w:rsidR="000E05DA" w:rsidRPr="000E05DA">
        <w:rPr>
          <w:b/>
          <w:szCs w:val="24"/>
        </w:rPr>
        <w:t>kostihojový</w:t>
      </w:r>
      <w:proofErr w:type="spellEnd"/>
      <w:r w:rsidR="000E05DA" w:rsidRPr="000E05DA">
        <w:rPr>
          <w:b/>
          <w:szCs w:val="24"/>
        </w:rPr>
        <w:t xml:space="preserve"> (</w:t>
      </w:r>
      <w:proofErr w:type="spellStart"/>
      <w:r w:rsidR="000E05DA" w:rsidRPr="000E05DA">
        <w:rPr>
          <w:b/>
          <w:i/>
          <w:szCs w:val="24"/>
        </w:rPr>
        <w:t>Callimorpha</w:t>
      </w:r>
      <w:proofErr w:type="spellEnd"/>
      <w:r w:rsidR="000E05DA" w:rsidRPr="000E05DA">
        <w:rPr>
          <w:b/>
          <w:i/>
          <w:szCs w:val="24"/>
        </w:rPr>
        <w:t xml:space="preserve"> </w:t>
      </w:r>
      <w:proofErr w:type="spellStart"/>
      <w:r w:rsidR="000E05DA" w:rsidRPr="000E05DA">
        <w:rPr>
          <w:b/>
          <w:i/>
          <w:szCs w:val="24"/>
        </w:rPr>
        <w:t>quadripunctaria</w:t>
      </w:r>
      <w:proofErr w:type="spellEnd"/>
      <w:r w:rsidR="000E05DA" w:rsidRPr="000E05DA">
        <w:rPr>
          <w:b/>
          <w:szCs w:val="24"/>
        </w:rPr>
        <w:t>)</w:t>
      </w:r>
      <w:r w:rsidR="000E05DA">
        <w:rPr>
          <w:szCs w:val="24"/>
        </w:rPr>
        <w:t xml:space="preserve"> z</w:t>
      </w:r>
      <w:r w:rsidR="000E05DA">
        <w:t>a splnenia nasledovných atribútov</w:t>
      </w:r>
      <w:r w:rsidR="000E05DA"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0E05DA" w:rsidRPr="00EF3711" w14:paraId="39FBB3A2" w14:textId="77777777" w:rsidTr="7EC3A2F6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ED6E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5F4A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7AEB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4576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EF3711" w14:paraId="18669B34" w14:textId="77777777" w:rsidTr="7EC3A2F6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9AF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B28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A4B" w14:textId="492936AB" w:rsidR="000E05DA" w:rsidRPr="00EF3711" w:rsidRDefault="00EF6E43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Najmenej </w:t>
            </w:r>
            <w:r w:rsidR="00E902BF">
              <w:rPr>
                <w:rFonts w:eastAsia="Times New Roman"/>
                <w:sz w:val="20"/>
                <w:szCs w:val="20"/>
              </w:rPr>
              <w:t>1</w:t>
            </w:r>
            <w:r w:rsidR="000E05DA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424" w14:textId="63D0290B" w:rsidR="000E05DA" w:rsidRPr="00EF3711" w:rsidRDefault="7EC3A2F6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EC3A2F6">
              <w:rPr>
                <w:rFonts w:eastAsia="Times New Roman"/>
                <w:sz w:val="20"/>
                <w:szCs w:val="20"/>
              </w:rPr>
              <w:t xml:space="preserve">odhaduje sa do 100, udržiavať min. početnosť na 100 jedincov </w:t>
            </w:r>
          </w:p>
        </w:tc>
      </w:tr>
      <w:tr w:rsidR="000E05DA" w:rsidRPr="00EF3711" w14:paraId="199A7134" w14:textId="77777777" w:rsidTr="7EC3A2F6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05D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BA7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BD4D" w14:textId="43C36A74" w:rsidR="000E05DA" w:rsidRPr="00EF3711" w:rsidRDefault="7EC3A2F6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EC3A2F6">
              <w:rPr>
                <w:rFonts w:eastAsia="Times New Roman"/>
                <w:sz w:val="20"/>
                <w:szCs w:val="20"/>
              </w:rPr>
              <w:t xml:space="preserve">najmenej 0,5 </w:t>
            </w:r>
            <w:r w:rsidRPr="7EC3A2F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68D" w14:textId="77777777" w:rsidR="000E05DA" w:rsidRPr="00EF3711" w:rsidRDefault="000E05DA" w:rsidP="00BA17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0E05DA" w:rsidRPr="00EF3711" w14:paraId="3E405E97" w14:textId="77777777" w:rsidTr="7EC3A2F6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149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 w:rsidR="00E64259"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 w:rsidR="00E64259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E64259"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 w:rsidR="00E6425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64259"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 w:rsidR="00E64259"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C9A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0D0B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2475" w14:textId="77777777" w:rsidR="000E05DA" w:rsidRPr="00EF3711" w:rsidRDefault="000E05DA" w:rsidP="00BA17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0E05DA" w:rsidRPr="00EF3711" w14:paraId="77214B47" w14:textId="77777777" w:rsidTr="7EC3A2F6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9A8A3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750A1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B0A" w14:textId="77777777" w:rsidR="000E05DA" w:rsidRPr="00EF3711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67A491" w14:textId="77777777" w:rsidR="000E05DA" w:rsidRPr="00EF3711" w:rsidRDefault="000E05DA" w:rsidP="00BA17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5351E59E" w14:textId="77777777" w:rsidR="00E64259" w:rsidRDefault="00E64259" w:rsidP="00BA1794">
      <w:pPr>
        <w:spacing w:after="0" w:line="240" w:lineRule="auto"/>
        <w:ind w:left="360"/>
        <w:jc w:val="both"/>
      </w:pPr>
    </w:p>
    <w:p w14:paraId="07E2BDF0" w14:textId="19EFB543" w:rsidR="00E64259" w:rsidRDefault="00EF6E43" w:rsidP="00BA1794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Zlepšenie </w:t>
      </w:r>
      <w:r w:rsidR="00E64259">
        <w:rPr>
          <w:szCs w:val="24"/>
        </w:rPr>
        <w:t>stav</w:t>
      </w:r>
      <w:r w:rsidR="00C65C57">
        <w:rPr>
          <w:szCs w:val="24"/>
        </w:rPr>
        <w:t>u</w:t>
      </w:r>
      <w:r w:rsidR="00E64259">
        <w:rPr>
          <w:szCs w:val="24"/>
        </w:rPr>
        <w:t xml:space="preserve"> druhu</w:t>
      </w:r>
      <w:r w:rsidR="00E64259" w:rsidRPr="009327A0">
        <w:rPr>
          <w:szCs w:val="24"/>
        </w:rPr>
        <w:t xml:space="preserve"> </w:t>
      </w:r>
      <w:proofErr w:type="spellStart"/>
      <w:r w:rsidR="00E64259" w:rsidRPr="00E64259">
        <w:rPr>
          <w:b/>
          <w:szCs w:val="24"/>
        </w:rPr>
        <w:t>priadkovec</w:t>
      </w:r>
      <w:proofErr w:type="spellEnd"/>
      <w:r w:rsidR="00E64259" w:rsidRPr="00E64259">
        <w:rPr>
          <w:b/>
          <w:szCs w:val="24"/>
        </w:rPr>
        <w:t xml:space="preserve"> trnkový (</w:t>
      </w:r>
      <w:proofErr w:type="spellStart"/>
      <w:r w:rsidR="00E64259" w:rsidRPr="00E64259">
        <w:rPr>
          <w:b/>
          <w:i/>
          <w:szCs w:val="24"/>
        </w:rPr>
        <w:t>Eriogaster</w:t>
      </w:r>
      <w:proofErr w:type="spellEnd"/>
      <w:r w:rsidR="00E64259" w:rsidRPr="00E64259">
        <w:rPr>
          <w:b/>
          <w:i/>
          <w:szCs w:val="24"/>
        </w:rPr>
        <w:t xml:space="preserve"> </w:t>
      </w:r>
      <w:proofErr w:type="spellStart"/>
      <w:r w:rsidR="00E64259" w:rsidRPr="00E64259">
        <w:rPr>
          <w:b/>
          <w:i/>
          <w:szCs w:val="24"/>
        </w:rPr>
        <w:t>catax</w:t>
      </w:r>
      <w:proofErr w:type="spellEnd"/>
      <w:r w:rsidR="00E64259" w:rsidRPr="00E64259">
        <w:rPr>
          <w:b/>
          <w:szCs w:val="24"/>
        </w:rPr>
        <w:t>)</w:t>
      </w:r>
      <w:r w:rsidR="00E64259">
        <w:rPr>
          <w:szCs w:val="24"/>
        </w:rPr>
        <w:t xml:space="preserve"> z</w:t>
      </w:r>
      <w:r w:rsidR="00E64259">
        <w:t>a splnenia nasledovných atribútov</w:t>
      </w:r>
      <w:r w:rsidR="00E64259"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0E05DA" w:rsidRPr="00626A09" w14:paraId="5E5F2E5E" w14:textId="77777777" w:rsidTr="7EC3A2F6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4401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AD75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4C34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338B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626A09" w14:paraId="6FF92F52" w14:textId="77777777" w:rsidTr="7EC3A2F6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1F2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7391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36C" w14:textId="17A876A3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 w:rsidR="00C402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697" w14:textId="6B82E2FC" w:rsidR="000E05DA" w:rsidRPr="00E81D0D" w:rsidRDefault="7EC3A2F6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EC3A2F6">
              <w:rPr>
                <w:sz w:val="20"/>
                <w:szCs w:val="20"/>
              </w:rPr>
              <w:t>odhaduje sa na  50 – 200 jedincov</w:t>
            </w:r>
            <w:r w:rsidR="00BA1794">
              <w:rPr>
                <w:sz w:val="20"/>
                <w:szCs w:val="20"/>
              </w:rPr>
              <w:t>, udržať početnosť na min. 200</w:t>
            </w:r>
            <w:r w:rsidRPr="7EC3A2F6">
              <w:rPr>
                <w:sz w:val="20"/>
                <w:szCs w:val="20"/>
              </w:rPr>
              <w:t xml:space="preserve"> jedincov </w:t>
            </w:r>
          </w:p>
        </w:tc>
      </w:tr>
      <w:tr w:rsidR="000E05DA" w:rsidRPr="00626A09" w14:paraId="62A69F1C" w14:textId="77777777" w:rsidTr="7EC3A2F6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F5B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58F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AE13" w14:textId="651FB701" w:rsidR="000E05DA" w:rsidRPr="00E81D0D" w:rsidRDefault="7EC3A2F6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EC3A2F6">
              <w:rPr>
                <w:sz w:val="20"/>
                <w:szCs w:val="20"/>
              </w:rPr>
              <w:t>najmenej 1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E18D" w14:textId="77777777" w:rsidR="000E05DA" w:rsidRPr="00E81D0D" w:rsidRDefault="000E05DA" w:rsidP="00BA17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0E05DA" w:rsidRPr="00626A09" w14:paraId="1EBB13FA" w14:textId="77777777" w:rsidTr="7EC3A2F6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A8D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3D9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065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DDE3" w14:textId="77777777" w:rsidR="000E05DA" w:rsidRPr="00E81D0D" w:rsidRDefault="000E05DA" w:rsidP="00BA17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0E05DA" w:rsidRPr="00626A09" w14:paraId="4F71325A" w14:textId="77777777" w:rsidTr="7EC3A2F6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A0E61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64753" w14:textId="7245DE26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</w:t>
            </w:r>
            <w:r w:rsidR="00BA1794">
              <w:rPr>
                <w:sz w:val="20"/>
                <w:szCs w:val="20"/>
              </w:rPr>
              <w:t xml:space="preserve">inváznych </w:t>
            </w:r>
            <w:r w:rsidRPr="00EF3711">
              <w:rPr>
                <w:sz w:val="20"/>
                <w:szCs w:val="20"/>
              </w:rPr>
              <w:t xml:space="preserve">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BCF" w14:textId="77777777" w:rsidR="000E05DA" w:rsidRPr="00E81D0D" w:rsidRDefault="000E05DA" w:rsidP="00BA17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6BA2D" w14:textId="7A15B920" w:rsidR="000E05DA" w:rsidRPr="00E81D0D" w:rsidRDefault="000E05DA" w:rsidP="00BA17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sekundárna sukcesia </w:t>
            </w:r>
            <w:r w:rsidR="00BA1794">
              <w:rPr>
                <w:sz w:val="20"/>
                <w:szCs w:val="20"/>
              </w:rPr>
              <w:t xml:space="preserve">potenciálne inváznych drevín </w:t>
            </w:r>
            <w:r w:rsidRPr="00EF3711">
              <w:rPr>
                <w:sz w:val="20"/>
                <w:szCs w:val="20"/>
              </w:rPr>
              <w:t>na lokalite max. do 3%</w:t>
            </w:r>
          </w:p>
        </w:tc>
      </w:tr>
    </w:tbl>
    <w:p w14:paraId="44A59703" w14:textId="77777777" w:rsidR="000E05DA" w:rsidRPr="001921C3" w:rsidRDefault="000E05DA" w:rsidP="00BA1794">
      <w:pPr>
        <w:spacing w:after="0" w:line="240" w:lineRule="auto"/>
        <w:ind w:left="360"/>
        <w:jc w:val="both"/>
      </w:pPr>
    </w:p>
    <w:sectPr w:rsidR="000E05DA" w:rsidRPr="0019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708BD"/>
    <w:rsid w:val="001E6775"/>
    <w:rsid w:val="00240459"/>
    <w:rsid w:val="0027081D"/>
    <w:rsid w:val="002817B8"/>
    <w:rsid w:val="00346ACE"/>
    <w:rsid w:val="003509FA"/>
    <w:rsid w:val="003E7F90"/>
    <w:rsid w:val="004F7434"/>
    <w:rsid w:val="00527DA2"/>
    <w:rsid w:val="00562BB2"/>
    <w:rsid w:val="005B2652"/>
    <w:rsid w:val="005C00AB"/>
    <w:rsid w:val="00797092"/>
    <w:rsid w:val="008E0E74"/>
    <w:rsid w:val="009E2909"/>
    <w:rsid w:val="00A4711A"/>
    <w:rsid w:val="00BA1794"/>
    <w:rsid w:val="00BF1520"/>
    <w:rsid w:val="00C4029A"/>
    <w:rsid w:val="00C65C57"/>
    <w:rsid w:val="00C9571F"/>
    <w:rsid w:val="00D76319"/>
    <w:rsid w:val="00E0704C"/>
    <w:rsid w:val="00E64259"/>
    <w:rsid w:val="00E902BF"/>
    <w:rsid w:val="00EC67A6"/>
    <w:rsid w:val="00EF6E43"/>
    <w:rsid w:val="00F0318A"/>
    <w:rsid w:val="00F436A8"/>
    <w:rsid w:val="03780A1D"/>
    <w:rsid w:val="06FB03B9"/>
    <w:rsid w:val="0BB7A168"/>
    <w:rsid w:val="1D323E0C"/>
    <w:rsid w:val="21F74679"/>
    <w:rsid w:val="33E7AB86"/>
    <w:rsid w:val="3D4075AA"/>
    <w:rsid w:val="3EDC460B"/>
    <w:rsid w:val="4213E6CD"/>
    <w:rsid w:val="4D411161"/>
    <w:rsid w:val="5369528E"/>
    <w:rsid w:val="543233C0"/>
    <w:rsid w:val="5973E6B1"/>
    <w:rsid w:val="6E15C228"/>
    <w:rsid w:val="728867C7"/>
    <w:rsid w:val="74DFC127"/>
    <w:rsid w:val="7661E7DB"/>
    <w:rsid w:val="7EC3A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c9b4571ea59f4e09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12</cp:revision>
  <dcterms:created xsi:type="dcterms:W3CDTF">2023-05-23T07:35:00Z</dcterms:created>
  <dcterms:modified xsi:type="dcterms:W3CDTF">2023-08-04T06:21:00Z</dcterms:modified>
</cp:coreProperties>
</file>