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181E002F" w:rsidR="00E43A23" w:rsidRDefault="006C6B2D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SKUEV0362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r>
        <w:rPr>
          <w:b/>
          <w:bCs/>
          <w:i w:val="0"/>
          <w:color w:val="auto"/>
          <w:sz w:val="28"/>
          <w:szCs w:val="28"/>
        </w:rPr>
        <w:t>Pieskovcové chrbty</w:t>
      </w:r>
    </w:p>
    <w:p w14:paraId="6194D072" w14:textId="77777777" w:rsidR="00031CC2" w:rsidRDefault="00031CC2" w:rsidP="00031CC2">
      <w:pPr>
        <w:rPr>
          <w:b/>
          <w:szCs w:val="24"/>
        </w:rPr>
      </w:pPr>
    </w:p>
    <w:p w14:paraId="51F9BDBA" w14:textId="68BACE9A" w:rsidR="00031CC2" w:rsidRPr="00031CC2" w:rsidRDefault="00031CC2" w:rsidP="00031CC2">
      <w:pPr>
        <w:rPr>
          <w:szCs w:val="24"/>
        </w:rPr>
      </w:pPr>
      <w:r w:rsidRPr="00031CC2">
        <w:rPr>
          <w:b/>
          <w:szCs w:val="24"/>
        </w:rPr>
        <w:t>Ciele ochrany</w:t>
      </w:r>
      <w:r w:rsidRPr="00031CC2">
        <w:rPr>
          <w:b/>
          <w:szCs w:val="24"/>
        </w:rPr>
        <w:t>:</w:t>
      </w:r>
    </w:p>
    <w:p w14:paraId="79019318" w14:textId="14A09237" w:rsidR="006C6B2D" w:rsidRPr="00B6615B" w:rsidRDefault="006C6B2D" w:rsidP="006C6B2D">
      <w:pPr>
        <w:rPr>
          <w:szCs w:val="24"/>
        </w:rPr>
      </w:pPr>
      <w:r w:rsidRPr="00B6615B">
        <w:rPr>
          <w:szCs w:val="24"/>
        </w:rPr>
        <w:t xml:space="preserve">Zlepšenie stavu biotopu </w:t>
      </w:r>
      <w:r w:rsidRPr="00B6615B">
        <w:rPr>
          <w:b/>
          <w:szCs w:val="24"/>
        </w:rPr>
        <w:t xml:space="preserve">Tr1 (6210) </w:t>
      </w:r>
      <w:r w:rsidRPr="00B6615B">
        <w:rPr>
          <w:rFonts w:eastAsia="Times New Roman"/>
          <w:b/>
          <w:szCs w:val="24"/>
          <w:lang w:eastAsia="sk-SK"/>
        </w:rPr>
        <w:t xml:space="preserve">Suchomilné </w:t>
      </w:r>
      <w:proofErr w:type="spellStart"/>
      <w:r w:rsidRPr="00B6615B">
        <w:rPr>
          <w:rFonts w:eastAsia="Times New Roman"/>
          <w:b/>
          <w:szCs w:val="24"/>
          <w:lang w:eastAsia="sk-SK"/>
        </w:rPr>
        <w:t>travinno</w:t>
      </w:r>
      <w:proofErr w:type="spellEnd"/>
      <w:r w:rsidRPr="00B6615B">
        <w:rPr>
          <w:rFonts w:eastAsia="Times New Roman"/>
          <w:b/>
          <w:szCs w:val="24"/>
          <w:lang w:eastAsia="sk-SK"/>
        </w:rPr>
        <w:t xml:space="preserve">-bylinné a krovinové porasty na vápnitom substráte </w:t>
      </w:r>
      <w:r w:rsidRPr="00B6615B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40"/>
        <w:gridCol w:w="1090"/>
        <w:gridCol w:w="4611"/>
      </w:tblGrid>
      <w:tr w:rsidR="006C6B2D" w:rsidRPr="00B6615B" w14:paraId="46FF394A" w14:textId="77777777" w:rsidTr="00303EC6">
        <w:trPr>
          <w:trHeight w:val="705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74FD39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35723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D2B4FA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75BDCD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6C6B2D" w:rsidRPr="00B6615B" w14:paraId="04CB8F99" w14:textId="77777777" w:rsidTr="00303EC6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5A13A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703A4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36EB0" w14:textId="3F33F998" w:rsidR="006C6B2D" w:rsidRPr="00B6615B" w:rsidRDefault="005C179B" w:rsidP="005C179B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>55</w:t>
            </w:r>
            <w:r w:rsidR="006C6B2D"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 ha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9A340D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Min. udržať výmeru biotopu, príp. zvýšiť výmeru.</w:t>
            </w:r>
          </w:p>
        </w:tc>
      </w:tr>
      <w:tr w:rsidR="006C6B2D" w:rsidRPr="00B6615B" w14:paraId="05B52B7D" w14:textId="77777777" w:rsidTr="00303EC6">
        <w:trPr>
          <w:trHeight w:val="290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508EE4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867E0B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počet druhov/16 m</w:t>
            </w:r>
            <w:r w:rsidRPr="006C2556">
              <w:rPr>
                <w:rFonts w:eastAsia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9E5532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3739E6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315ED4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315ED4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315ED4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15ED4">
              <w:rPr>
                <w:rFonts w:eastAsia="Times New Roman"/>
                <w:i/>
                <w:sz w:val="18"/>
                <w:szCs w:val="18"/>
                <w:lang w:eastAsia="sk-SK"/>
              </w:rPr>
              <w:t>montana</w:t>
            </w:r>
            <w:proofErr w:type="spellEnd"/>
            <w:r w:rsidRPr="00315ED4">
              <w:rPr>
                <w:rFonts w:eastAsia="Times New Roman"/>
                <w:i/>
                <w:sz w:val="18"/>
                <w:szCs w:val="18"/>
                <w:lang w:eastAsia="sk-SK"/>
              </w:rPr>
              <w:t>,</w:t>
            </w:r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penthaphyllum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arenaria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Teucryum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pannonicus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6C6B2D" w:rsidRPr="00B6615B" w14:paraId="1F4AF9CF" w14:textId="77777777" w:rsidTr="00303EC6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520280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36A2CB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102BBA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menej ako 40 %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6A3A49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6C6B2D" w:rsidRPr="00B6615B" w14:paraId="17023C69" w14:textId="77777777" w:rsidTr="00303EC6">
        <w:trPr>
          <w:trHeight w:val="85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5E3445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B6615B">
              <w:rPr>
                <w:rFonts w:eastAsia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080C24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percento pokrytia/25 m</w:t>
            </w:r>
            <w:r w:rsidRPr="0024685E">
              <w:rPr>
                <w:rFonts w:eastAsia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C68915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menej ako 15</w:t>
            </w: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 </w:t>
            </w: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85D9D2" w14:textId="2873EB69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Minimálne zastúpenie expanzívnych druhov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epigejos</w:t>
            </w:r>
            <w:proofErr w:type="spellEnd"/>
            <w:r w:rsidR="009B7037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r w:rsidR="009B7037" w:rsidRPr="009B7037">
              <w:rPr>
                <w:rFonts w:eastAsia="Times New Roman"/>
                <w:sz w:val="18"/>
                <w:szCs w:val="18"/>
                <w:lang w:eastAsia="sk-SK"/>
              </w:rPr>
              <w:t>a</w:t>
            </w:r>
            <w:r w:rsidR="009B7037">
              <w:rPr>
                <w:rFonts w:eastAsia="Times New Roman"/>
                <w:sz w:val="18"/>
                <w:szCs w:val="18"/>
                <w:lang w:eastAsia="sk-SK"/>
              </w:rPr>
              <w:t> </w:t>
            </w:r>
            <w:r w:rsidR="009B7037" w:rsidRPr="009B7037">
              <w:rPr>
                <w:rFonts w:eastAsia="Times New Roman"/>
                <w:sz w:val="18"/>
                <w:szCs w:val="18"/>
                <w:lang w:eastAsia="sk-SK"/>
              </w:rPr>
              <w:t>inváznych</w:t>
            </w:r>
            <w:r w:rsidR="009B7037">
              <w:rPr>
                <w:rFonts w:eastAsia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9B7037">
              <w:rPr>
                <w:rFonts w:eastAsia="Times New Roman"/>
                <w:i/>
                <w:sz w:val="20"/>
                <w:szCs w:val="20"/>
                <w:lang w:eastAsia="sk-SK"/>
              </w:rPr>
              <w:t>Asclepias</w:t>
            </w:r>
            <w:proofErr w:type="spellEnd"/>
            <w:r w:rsidR="009B7037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syriaca, </w:t>
            </w:r>
            <w:proofErr w:type="spellStart"/>
            <w:r w:rsidR="009B7037">
              <w:rPr>
                <w:rFonts w:eastAsia="Times New Roman"/>
                <w:i/>
                <w:sz w:val="20"/>
                <w:szCs w:val="20"/>
                <w:lang w:eastAsia="sk-SK"/>
              </w:rPr>
              <w:t>Ambrosia</w:t>
            </w:r>
            <w:proofErr w:type="spellEnd"/>
            <w:r w:rsidR="009B7037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C5713">
              <w:rPr>
                <w:rFonts w:eastAsia="Times New Roman"/>
                <w:i/>
                <w:sz w:val="20"/>
                <w:szCs w:val="20"/>
                <w:lang w:eastAsia="sk-SK"/>
              </w:rPr>
              <w:t>artemisiifolia</w:t>
            </w:r>
            <w:proofErr w:type="spellEnd"/>
            <w:r w:rsidR="009B7037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r w:rsidR="009B7037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</w:p>
        </w:tc>
      </w:tr>
    </w:tbl>
    <w:p w14:paraId="6F1AFA4F" w14:textId="77777777" w:rsidR="006C6B2D" w:rsidRDefault="006C6B2D" w:rsidP="00625435">
      <w:pPr>
        <w:rPr>
          <w:color w:val="000000"/>
          <w:szCs w:val="24"/>
        </w:rPr>
      </w:pPr>
    </w:p>
    <w:p w14:paraId="4C9AB346" w14:textId="69153EE6" w:rsidR="00625435" w:rsidRPr="00FA68E1" w:rsidRDefault="0060686A" w:rsidP="00625435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Zachovanie </w:t>
      </w:r>
      <w:r w:rsidR="00625435" w:rsidRPr="00FA68E1">
        <w:rPr>
          <w:color w:val="000000"/>
          <w:szCs w:val="24"/>
        </w:rPr>
        <w:t xml:space="preserve">stavu biotopu </w:t>
      </w:r>
      <w:r w:rsidR="00625435" w:rsidRPr="00FA68E1">
        <w:rPr>
          <w:b/>
          <w:color w:val="000000"/>
          <w:szCs w:val="24"/>
        </w:rPr>
        <w:t xml:space="preserve">Tr2 (6240*) </w:t>
      </w:r>
      <w:proofErr w:type="spellStart"/>
      <w:r w:rsidR="00625435" w:rsidRPr="00FA68E1">
        <w:rPr>
          <w:rFonts w:eastAsia="Times New Roman"/>
          <w:b/>
          <w:szCs w:val="24"/>
          <w:lang w:eastAsia="sk-SK"/>
        </w:rPr>
        <w:t>Subpanónske</w:t>
      </w:r>
      <w:proofErr w:type="spellEnd"/>
      <w:r w:rsidR="00625435" w:rsidRPr="00FA68E1">
        <w:rPr>
          <w:rFonts w:eastAsia="Times New Roman"/>
          <w:b/>
          <w:szCs w:val="24"/>
          <w:lang w:eastAsia="sk-SK"/>
        </w:rPr>
        <w:t xml:space="preserve"> </w:t>
      </w:r>
      <w:proofErr w:type="spellStart"/>
      <w:r w:rsidR="00625435" w:rsidRPr="00FA68E1">
        <w:rPr>
          <w:rFonts w:eastAsia="Times New Roman"/>
          <w:b/>
          <w:szCs w:val="24"/>
          <w:lang w:eastAsia="sk-SK"/>
        </w:rPr>
        <w:t>travinnobylinné</w:t>
      </w:r>
      <w:proofErr w:type="spellEnd"/>
      <w:r w:rsidR="00625435" w:rsidRPr="00FA68E1">
        <w:rPr>
          <w:rFonts w:eastAsia="Times New Roman"/>
          <w:b/>
          <w:szCs w:val="24"/>
          <w:lang w:eastAsia="sk-SK"/>
        </w:rPr>
        <w:t xml:space="preserve"> porasty </w:t>
      </w:r>
      <w:r w:rsidR="00625435" w:rsidRPr="00FA68E1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559"/>
        <w:gridCol w:w="992"/>
        <w:gridCol w:w="5196"/>
      </w:tblGrid>
      <w:tr w:rsidR="00625435" w:rsidRPr="00FA68E1" w14:paraId="1C3FF247" w14:textId="77777777" w:rsidTr="00E434CB">
        <w:trPr>
          <w:trHeight w:val="705"/>
        </w:trPr>
        <w:tc>
          <w:tcPr>
            <w:tcW w:w="1799" w:type="dxa"/>
            <w:shd w:val="clear" w:color="auto" w:fill="auto"/>
            <w:hideMark/>
          </w:tcPr>
          <w:p w14:paraId="5321C2D7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auto"/>
            <w:hideMark/>
          </w:tcPr>
          <w:p w14:paraId="513C8FFD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14:paraId="1B6CCD9B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14:paraId="38186DFA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25435" w:rsidRPr="00FA68E1" w14:paraId="33ED70B4" w14:textId="77777777" w:rsidTr="00E434CB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5C3E5B31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D58F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BDB38" w14:textId="4AEDD1B5" w:rsidR="00625435" w:rsidRPr="00FA68E1" w:rsidRDefault="005C179B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4,2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4365D01B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625435" w:rsidRPr="00FA68E1" w14:paraId="5CF153A2" w14:textId="77777777" w:rsidTr="00E434CB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14:paraId="37097B83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42D6E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F8A76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71CF9EDE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14:paraId="450E9ED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315ED4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15ED4">
              <w:rPr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315ED4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5ED4">
              <w:rPr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315ED4">
              <w:rPr>
                <w:bCs/>
                <w:i/>
                <w:iCs/>
                <w:sz w:val="20"/>
                <w:szCs w:val="20"/>
              </w:rPr>
              <w:t>,</w:t>
            </w:r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063E6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063E6">
              <w:rPr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063E6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63E6">
              <w:rPr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063E6">
              <w:rPr>
                <w:bCs/>
                <w:i/>
                <w:iCs/>
                <w:sz w:val="20"/>
                <w:szCs w:val="20"/>
              </w:rPr>
              <w:t>,</w:t>
            </w:r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625435" w:rsidRPr="00FA68E1" w14:paraId="2BC301CE" w14:textId="77777777" w:rsidTr="00E434CB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31225567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32B4F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135D6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524B3F2A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625435" w:rsidRPr="00FA68E1" w14:paraId="29ED65EB" w14:textId="77777777" w:rsidTr="00E434CB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14:paraId="7329039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Zastúpenie </w:t>
            </w:r>
            <w:proofErr w:type="spellStart"/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14:paraId="077C9EB1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09B21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AC2EF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219345E7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14:paraId="136BA84A" w14:textId="0E3FEAEF" w:rsidR="00625435" w:rsidRDefault="00625435" w:rsidP="00625435">
      <w:pPr>
        <w:rPr>
          <w:color w:val="000000"/>
          <w:szCs w:val="24"/>
        </w:rPr>
      </w:pPr>
    </w:p>
    <w:p w14:paraId="1AF2B1A6" w14:textId="33060D90" w:rsidR="00577A3C" w:rsidRDefault="006C6B2D" w:rsidP="00577A3C">
      <w:pPr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Zlepšenie </w:t>
      </w:r>
      <w:r w:rsidR="00577A3C">
        <w:rPr>
          <w:color w:val="000000"/>
          <w:szCs w:val="24"/>
        </w:rPr>
        <w:t xml:space="preserve">stavu biotopu </w:t>
      </w:r>
      <w:r w:rsidR="00577A3C" w:rsidRPr="0028246D">
        <w:rPr>
          <w:b/>
          <w:color w:val="000000"/>
          <w:szCs w:val="24"/>
        </w:rPr>
        <w:t>Tr5 (</w:t>
      </w:r>
      <w:r w:rsidR="00577A3C">
        <w:rPr>
          <w:b/>
          <w:color w:val="000000"/>
          <w:szCs w:val="24"/>
        </w:rPr>
        <w:t>40A0*</w:t>
      </w:r>
      <w:r w:rsidR="00577A3C" w:rsidRPr="0028246D">
        <w:rPr>
          <w:b/>
          <w:color w:val="000000"/>
          <w:szCs w:val="24"/>
        </w:rPr>
        <w:t xml:space="preserve">) </w:t>
      </w:r>
      <w:proofErr w:type="spellStart"/>
      <w:r w:rsidR="00577A3C">
        <w:rPr>
          <w:b/>
          <w:color w:val="000000"/>
          <w:szCs w:val="24"/>
        </w:rPr>
        <w:t>Xerotermné</w:t>
      </w:r>
      <w:proofErr w:type="spellEnd"/>
      <w:r w:rsidR="00577A3C">
        <w:rPr>
          <w:b/>
          <w:color w:val="000000"/>
          <w:szCs w:val="24"/>
        </w:rPr>
        <w:t xml:space="preserve"> kroviny </w:t>
      </w:r>
      <w:r w:rsidR="00577A3C">
        <w:rPr>
          <w:color w:val="000000"/>
          <w:szCs w:val="24"/>
        </w:rPr>
        <w:t xml:space="preserve">za splnenia nasledovných atribútov: </w:t>
      </w: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249"/>
        <w:gridCol w:w="1223"/>
        <w:gridCol w:w="4536"/>
      </w:tblGrid>
      <w:tr w:rsidR="00577A3C" w:rsidRPr="00476F0C" w14:paraId="4B4F46EA" w14:textId="77777777" w:rsidTr="00577A3C">
        <w:trPr>
          <w:trHeight w:val="705"/>
        </w:trPr>
        <w:tc>
          <w:tcPr>
            <w:tcW w:w="2774" w:type="dxa"/>
            <w:shd w:val="clear" w:color="auto" w:fill="FFFFFF"/>
            <w:hideMark/>
          </w:tcPr>
          <w:p w14:paraId="6B95E37A" w14:textId="77777777" w:rsidR="00577A3C" w:rsidRPr="00476F0C" w:rsidRDefault="00577A3C" w:rsidP="0060686A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/>
            <w:hideMark/>
          </w:tcPr>
          <w:p w14:paraId="7044A5AB" w14:textId="77777777" w:rsidR="00577A3C" w:rsidRPr="00476F0C" w:rsidRDefault="00577A3C" w:rsidP="0060686A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23" w:type="dxa"/>
            <w:shd w:val="clear" w:color="auto" w:fill="FFFFFF"/>
            <w:hideMark/>
          </w:tcPr>
          <w:p w14:paraId="1494961F" w14:textId="77777777" w:rsidR="00577A3C" w:rsidRPr="00476F0C" w:rsidRDefault="00577A3C" w:rsidP="0060686A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shd w:val="clear" w:color="auto" w:fill="FFFFFF"/>
            <w:hideMark/>
          </w:tcPr>
          <w:p w14:paraId="234FE6A0" w14:textId="77777777" w:rsidR="00577A3C" w:rsidRPr="00476F0C" w:rsidRDefault="00577A3C" w:rsidP="0060686A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77A3C" w:rsidRPr="00476F0C" w14:paraId="167B9165" w14:textId="77777777" w:rsidTr="00577A3C">
        <w:trPr>
          <w:trHeight w:val="290"/>
        </w:trPr>
        <w:tc>
          <w:tcPr>
            <w:tcW w:w="2774" w:type="dxa"/>
            <w:shd w:val="clear" w:color="auto" w:fill="FFFFFF"/>
            <w:vAlign w:val="bottom"/>
            <w:hideMark/>
          </w:tcPr>
          <w:p w14:paraId="3B606117" w14:textId="77777777" w:rsidR="00577A3C" w:rsidRPr="00476F0C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7B798046" w14:textId="77777777" w:rsidR="00577A3C" w:rsidRPr="00476F0C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23" w:type="dxa"/>
            <w:shd w:val="clear" w:color="auto" w:fill="FFFFFF"/>
            <w:vAlign w:val="bottom"/>
          </w:tcPr>
          <w:p w14:paraId="7F3B0439" w14:textId="7E76BA2E" w:rsidR="00577A3C" w:rsidRPr="00476F0C" w:rsidRDefault="00D11521" w:rsidP="006068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161DF638" w14:textId="77777777" w:rsidR="00577A3C" w:rsidRPr="00476F0C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Udržanie súč</w:t>
            </w: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asnej výmery biotopu</w:t>
            </w:r>
          </w:p>
        </w:tc>
      </w:tr>
      <w:tr w:rsidR="00577A3C" w:rsidRPr="00476F0C" w14:paraId="51EA6E10" w14:textId="77777777" w:rsidTr="00577A3C">
        <w:trPr>
          <w:trHeight w:val="699"/>
        </w:trPr>
        <w:tc>
          <w:tcPr>
            <w:tcW w:w="2774" w:type="dxa"/>
            <w:shd w:val="clear" w:color="auto" w:fill="FFFFFF"/>
            <w:vAlign w:val="bottom"/>
            <w:hideMark/>
          </w:tcPr>
          <w:p w14:paraId="1D859B5F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29A65086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031CC2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6C6BE351" w14:textId="77777777" w:rsidR="00577A3C" w:rsidRPr="00031CC2" w:rsidRDefault="00577A3C" w:rsidP="006068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01FC94F0" w14:textId="5CDE26CD" w:rsidR="00577A3C" w:rsidRPr="00031CC2" w:rsidRDefault="00577A3C" w:rsidP="00315ED4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Bupleurum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affine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Cerasus</w:t>
            </w:r>
            <w:proofErr w:type="spellEnd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fruticosa</w:t>
            </w:r>
            <w:proofErr w:type="spellEnd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Cerasus</w:t>
            </w:r>
            <w:proofErr w:type="spellEnd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mahaleb</w:t>
            </w:r>
            <w:proofErr w:type="spellEnd"/>
            <w:r w:rsidR="00F063E6"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 w:rsidR="00F063E6" w:rsidRPr="00031CC2">
              <w:rPr>
                <w:rFonts w:eastAsia="Times New Roman"/>
                <w:i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Cornus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mas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Cotoneaster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integerrimus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Crataegus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monogyna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Euonymus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verrucosus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Geranium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sanguineum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Inula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ensifolia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Laser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trilobum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Linaria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pallidoflora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Prunus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spinosa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Quercus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pubescens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Rosa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galica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Rosa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pimpinellifolia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Staphylea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pinnata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Teucrium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chamaedrys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Viccia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tenuifolia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Vincetoxicum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hirundinaria</w:t>
            </w:r>
            <w:proofErr w:type="spellEnd"/>
          </w:p>
        </w:tc>
      </w:tr>
      <w:tr w:rsidR="00577A3C" w:rsidRPr="00476F0C" w14:paraId="6F875762" w14:textId="77777777" w:rsidTr="00577A3C">
        <w:trPr>
          <w:trHeight w:val="290"/>
        </w:trPr>
        <w:tc>
          <w:tcPr>
            <w:tcW w:w="2774" w:type="dxa"/>
            <w:shd w:val="clear" w:color="auto" w:fill="FFFFFF"/>
            <w:vAlign w:val="bottom"/>
            <w:hideMark/>
          </w:tcPr>
          <w:p w14:paraId="298D4278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2B3BBA3B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2D642B99" w14:textId="77777777" w:rsidR="00577A3C" w:rsidRPr="00031CC2" w:rsidRDefault="00577A3C" w:rsidP="006068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76E94EF7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577A3C" w:rsidRPr="00476F0C" w14:paraId="3F800005" w14:textId="77777777" w:rsidTr="00577A3C">
        <w:trPr>
          <w:trHeight w:val="850"/>
        </w:trPr>
        <w:tc>
          <w:tcPr>
            <w:tcW w:w="2774" w:type="dxa"/>
            <w:shd w:val="clear" w:color="auto" w:fill="FFFFFF"/>
            <w:vAlign w:val="bottom"/>
            <w:hideMark/>
          </w:tcPr>
          <w:p w14:paraId="36303BF8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73796C30" w14:textId="77777777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031CC2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14385823" w14:textId="77777777" w:rsidR="00577A3C" w:rsidRPr="00031CC2" w:rsidRDefault="00577A3C" w:rsidP="006068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509A035E" w14:textId="5C105D6E" w:rsidR="00577A3C" w:rsidRPr="00031CC2" w:rsidRDefault="00577A3C" w:rsidP="0060686A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Minimálne zastúpenie expanzívnych druhov</w:t>
            </w:r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031CC2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minim</w:t>
            </w:r>
            <w:proofErr w:type="spellEnd"/>
            <w:r w:rsidRPr="00031CC2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. zastúpenie inváznych druhov (napr.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Aster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>.,</w:t>
            </w:r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Asclepias</w:t>
            </w:r>
            <w:proofErr w:type="spellEnd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syriaca, </w:t>
            </w:r>
            <w:proofErr w:type="spellStart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Ambrosia</w:t>
            </w:r>
            <w:proofErr w:type="spellEnd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C5713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artemisiifolia</w:t>
            </w:r>
            <w:proofErr w:type="spellEnd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,</w:t>
            </w:r>
            <w:r w:rsidRPr="00031CC2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Solidago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giganthea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Ailanthus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altissima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031CC2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CC2">
              <w:rPr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031CC2">
              <w:rPr>
                <w:color w:val="000000"/>
                <w:sz w:val="20"/>
                <w:szCs w:val="20"/>
              </w:rPr>
              <w:t>).</w:t>
            </w:r>
          </w:p>
        </w:tc>
      </w:tr>
    </w:tbl>
    <w:p w14:paraId="01113531" w14:textId="381387BA" w:rsidR="00577A3C" w:rsidRDefault="00577A3C" w:rsidP="00625435">
      <w:pPr>
        <w:rPr>
          <w:color w:val="000000"/>
          <w:szCs w:val="24"/>
        </w:rPr>
      </w:pPr>
    </w:p>
    <w:p w14:paraId="5B2108DB" w14:textId="35648966" w:rsidR="006C6B2D" w:rsidRPr="00B6615B" w:rsidRDefault="006C6B2D" w:rsidP="006C6B2D">
      <w:pPr>
        <w:rPr>
          <w:szCs w:val="24"/>
        </w:rPr>
      </w:pPr>
      <w:r w:rsidRPr="00B6615B">
        <w:rPr>
          <w:szCs w:val="24"/>
        </w:rPr>
        <w:t xml:space="preserve">Zlepšenie stavu biotopu druhu </w:t>
      </w:r>
      <w:r w:rsidRPr="00B6615B">
        <w:rPr>
          <w:b/>
          <w:szCs w:val="24"/>
        </w:rPr>
        <w:t>Kr2 (5130) Porasty borievky obyčajnej</w:t>
      </w:r>
      <w:r w:rsidRPr="00B6615B">
        <w:rPr>
          <w:szCs w:val="24"/>
        </w:rPr>
        <w:t xml:space="preserve"> 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251"/>
        <w:gridCol w:w="1386"/>
        <w:gridCol w:w="4021"/>
      </w:tblGrid>
      <w:tr w:rsidR="006C6B2D" w:rsidRPr="00B6615B" w14:paraId="45A877C4" w14:textId="77777777" w:rsidTr="00303EC6">
        <w:trPr>
          <w:trHeight w:val="705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D95F3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E5456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61E8B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E6FEB" w14:textId="77777777" w:rsidR="006C6B2D" w:rsidRPr="00954071" w:rsidRDefault="006C6B2D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6C6B2D" w:rsidRPr="00B6615B" w14:paraId="035B6D5D" w14:textId="77777777" w:rsidTr="00303EC6">
        <w:trPr>
          <w:trHeight w:val="29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77B88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B0EBD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125BA" w14:textId="7E38B505" w:rsidR="006C6B2D" w:rsidRPr="00B6615B" w:rsidRDefault="00D11521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>40</w:t>
            </w:r>
            <w:r w:rsidR="00F063E6">
              <w:rPr>
                <w:rFonts w:eastAsia="Times New Roman"/>
                <w:sz w:val="18"/>
                <w:szCs w:val="18"/>
                <w:lang w:eastAsia="sk-SK"/>
              </w:rPr>
              <w:t xml:space="preserve"> </w:t>
            </w:r>
            <w:r w:rsidR="006C6B2D">
              <w:rPr>
                <w:rFonts w:eastAsia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12BD6" w14:textId="77777777" w:rsidR="006C6B2D" w:rsidRPr="00B6615B" w:rsidRDefault="006C6B2D" w:rsidP="00303EC6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Udržať výmeru biotopu</w:t>
            </w:r>
          </w:p>
        </w:tc>
      </w:tr>
      <w:tr w:rsidR="006C6B2D" w:rsidRPr="00B6615B" w14:paraId="6D5CBF6F" w14:textId="77777777" w:rsidTr="00303EC6">
        <w:trPr>
          <w:trHeight w:val="232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F3A3C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A0B81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počet druhov/16 m</w:t>
            </w:r>
            <w:r w:rsidRPr="00031CC2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8296F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A4B6F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Anthyllis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vulneraria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Asperula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cynanchica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Berberis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Brachypodium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pinnatum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Bromus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erectus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humilis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Dianthus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carthusianorum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valesiaca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Genista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sp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Juniperus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communis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heptaphylla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S.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verticillata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ochroleuca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Teucrium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</w:p>
        </w:tc>
      </w:tr>
      <w:tr w:rsidR="006C6B2D" w:rsidRPr="00B6615B" w14:paraId="384548C2" w14:textId="77777777" w:rsidTr="00303EC6">
        <w:trPr>
          <w:trHeight w:val="87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8E490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516B2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46ED9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30 – 70 %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D5FEA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6C6B2D" w:rsidRPr="00B6615B" w14:paraId="3710A437" w14:textId="77777777" w:rsidTr="00303EC6">
        <w:trPr>
          <w:trHeight w:val="85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50F85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031CC2">
              <w:rPr>
                <w:rFonts w:eastAsia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031CC2">
              <w:rPr>
                <w:rFonts w:eastAsia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14160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percento pokrytia/25 m</w:t>
            </w:r>
            <w:r w:rsidRPr="00031CC2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5D479" w14:textId="77777777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4DC35" w14:textId="105542C1" w:rsidR="006C6B2D" w:rsidRPr="00031CC2" w:rsidRDefault="006C6B2D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sz w:val="20"/>
                <w:szCs w:val="20"/>
                <w:lang w:eastAsia="sk-SK"/>
              </w:rPr>
              <w:t>Minimálny výskyt nepôvodných invázne sa správajúcich druhov (</w:t>
            </w:r>
            <w:proofErr w:type="spellStart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Asclepias</w:t>
            </w:r>
            <w:proofErr w:type="spellEnd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syriaca, </w:t>
            </w:r>
            <w:proofErr w:type="spellStart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Ambrosia</w:t>
            </w:r>
            <w:proofErr w:type="spellEnd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C5713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artemisiifolia</w:t>
            </w:r>
            <w:proofErr w:type="spellEnd"/>
            <w:r w:rsidR="009B7037"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1CC2">
              <w:rPr>
                <w:rFonts w:eastAsia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031CC2">
              <w:rPr>
                <w:rFonts w:eastAsia="Times New Roman"/>
                <w:sz w:val="20"/>
                <w:szCs w:val="20"/>
                <w:lang w:eastAsia="sk-SK"/>
              </w:rPr>
              <w:t>)</w:t>
            </w:r>
          </w:p>
        </w:tc>
      </w:tr>
    </w:tbl>
    <w:p w14:paraId="604ACBE7" w14:textId="6CF7E6D8" w:rsidR="006C6B2D" w:rsidRDefault="006C6B2D" w:rsidP="00625435">
      <w:pPr>
        <w:rPr>
          <w:color w:val="000000"/>
          <w:szCs w:val="24"/>
        </w:rPr>
      </w:pPr>
    </w:p>
    <w:p w14:paraId="784DD52C" w14:textId="77777777" w:rsidR="000E4411" w:rsidRPr="00FA68E1" w:rsidRDefault="000E4411" w:rsidP="000E4411">
      <w:pPr>
        <w:pStyle w:val="Zkladntext"/>
        <w:widowControl w:val="0"/>
        <w:jc w:val="left"/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8"/>
        <w:gridCol w:w="1483"/>
        <w:gridCol w:w="1461"/>
        <w:gridCol w:w="5193"/>
      </w:tblGrid>
      <w:tr w:rsidR="000E4411" w:rsidRPr="00FA68E1" w14:paraId="554F2A51" w14:textId="77777777" w:rsidTr="00031CC2">
        <w:trPr>
          <w:trHeight w:val="3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5C7" w14:textId="77777777" w:rsidR="000E4411" w:rsidRPr="00FA68E1" w:rsidRDefault="000E4411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6F99B" w14:textId="77777777" w:rsidR="000E4411" w:rsidRPr="00FA68E1" w:rsidRDefault="000E4411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281E1" w14:textId="77777777" w:rsidR="000E4411" w:rsidRPr="00FA68E1" w:rsidRDefault="000E4411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7506" w14:textId="77777777" w:rsidR="000E4411" w:rsidRPr="00FA68E1" w:rsidRDefault="000E4411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0E4411" w:rsidRPr="00FA68E1" w14:paraId="50D7A1FB" w14:textId="77777777" w:rsidTr="00031CC2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35AC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F5ED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B42" w14:textId="1CB3A9F4" w:rsidR="000E4411" w:rsidRPr="00FA68E1" w:rsidRDefault="00610A9E" w:rsidP="00610A9E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Min.50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7DF9" w14:textId="1799FED0" w:rsidR="000E4411" w:rsidRPr="00FA68E1" w:rsidRDefault="000E4411" w:rsidP="00610A9E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Zvýšeni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e populácie druhu zo súčasných </w:t>
            </w:r>
            <w:r w:rsidR="006C6B2D">
              <w:rPr>
                <w:color w:val="000000"/>
                <w:sz w:val="20"/>
                <w:szCs w:val="20"/>
                <w:lang w:eastAsia="sk-SK"/>
              </w:rPr>
              <w:t>1</w:t>
            </w:r>
            <w:r w:rsidR="00610A9E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C6B2D">
              <w:rPr>
                <w:color w:val="000000"/>
                <w:sz w:val="20"/>
                <w:szCs w:val="20"/>
                <w:lang w:eastAsia="sk-SK"/>
              </w:rPr>
              <w:t>až 30</w:t>
            </w:r>
            <w:r>
              <w:rPr>
                <w:color w:val="000000"/>
                <w:sz w:val="20"/>
                <w:szCs w:val="20"/>
                <w:lang w:eastAsia="sk-SK"/>
              </w:rPr>
              <w:t>0 jedincov, na min.</w:t>
            </w:r>
            <w:r w:rsidR="00610A9E">
              <w:rPr>
                <w:color w:val="000000"/>
                <w:sz w:val="20"/>
                <w:szCs w:val="20"/>
                <w:lang w:eastAsia="sk-SK"/>
              </w:rPr>
              <w:t xml:space="preserve"> 50</w:t>
            </w:r>
            <w:r w:rsidRPr="00FA68E1">
              <w:rPr>
                <w:color w:val="000000"/>
                <w:sz w:val="20"/>
                <w:szCs w:val="20"/>
                <w:lang w:eastAsia="sk-SK"/>
              </w:rPr>
              <w:t xml:space="preserve"> jedincov.</w:t>
            </w:r>
          </w:p>
        </w:tc>
      </w:tr>
      <w:tr w:rsidR="000E4411" w:rsidRPr="00FA68E1" w14:paraId="403C072D" w14:textId="77777777" w:rsidTr="00031CC2">
        <w:trPr>
          <w:trHeight w:val="28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0301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41FC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4DDE" w14:textId="77A7453D" w:rsidR="000E4411" w:rsidRPr="00FA68E1" w:rsidRDefault="00610A9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1804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0E4411" w:rsidRPr="00FA68E1" w14:paraId="2C4B2489" w14:textId="77777777" w:rsidTr="00031CC2">
        <w:trPr>
          <w:trHeight w:val="9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2C40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A76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AA56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5412" w14:textId="77777777" w:rsidR="000E4411" w:rsidRPr="00FA68E1" w:rsidRDefault="000E4411" w:rsidP="00303EC6">
            <w:pPr>
              <w:rPr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Genista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tinctoria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Hippocrepis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comosa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Hypericum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perforatum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0E4411" w:rsidRPr="00FA68E1" w14:paraId="5543A8A3" w14:textId="77777777" w:rsidTr="00031CC2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81F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4AA0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9C0A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0326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0E4411" w:rsidRPr="00FA68E1" w14:paraId="09859C47" w14:textId="77777777" w:rsidTr="00031CC2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B45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sz w:val="18"/>
                <w:szCs w:val="18"/>
              </w:rPr>
              <w:t>alochtónnych</w:t>
            </w:r>
            <w:proofErr w:type="spellEnd"/>
            <w:r w:rsidRPr="00FA68E1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28AE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sz w:val="18"/>
                <w:szCs w:val="18"/>
              </w:rPr>
              <w:t>Percento  (%) pokrytia / ha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610C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sz w:val="18"/>
                <w:szCs w:val="18"/>
              </w:rPr>
              <w:t>0 %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C7ED" w14:textId="77777777" w:rsidR="000E4411" w:rsidRPr="00FA68E1" w:rsidRDefault="000E4411" w:rsidP="00303EC6">
            <w:pPr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062C9B48" w14:textId="77777777" w:rsidR="000E4411" w:rsidRDefault="000E4411" w:rsidP="00CF2E50"/>
    <w:p w14:paraId="3A4BE276" w14:textId="77777777" w:rsidR="003254F1" w:rsidRDefault="003254F1" w:rsidP="003254F1">
      <w:r>
        <w:t xml:space="preserve">Zlepšenie stavu druhu </w:t>
      </w:r>
      <w:proofErr w:type="spellStart"/>
      <w:r>
        <w:rPr>
          <w:b/>
          <w:i/>
          <w:szCs w:val="24"/>
        </w:rPr>
        <w:t>Lycaena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dispar</w:t>
      </w:r>
      <w:proofErr w:type="spellEnd"/>
      <w:r>
        <w:rPr>
          <w:b/>
          <w:i/>
          <w:szCs w:val="24"/>
        </w:rPr>
        <w:t xml:space="preserve"> </w:t>
      </w:r>
      <w:r>
        <w:rPr>
          <w:szCs w:val="24"/>
        </w:rPr>
        <w:t>za splnenia nasledovných atribútov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49"/>
        <w:gridCol w:w="1843"/>
        <w:gridCol w:w="4775"/>
      </w:tblGrid>
      <w:tr w:rsidR="003254F1" w14:paraId="7F141C99" w14:textId="77777777" w:rsidTr="00031CC2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AD80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BB8CD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7E3D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E56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254F1" w14:paraId="152695B3" w14:textId="77777777" w:rsidTr="00031CC2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2519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1250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65EC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500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E6EC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Zachovanie početnosti populácie, v súčasnosti sa odhaduje na 100 až 500 jedincov.</w:t>
            </w:r>
          </w:p>
          <w:p w14:paraId="149AE3EC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Druh v území má len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suboptimálne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reprodukčné lokality.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54F1" w14:paraId="706E0408" w14:textId="77777777" w:rsidTr="00031CC2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BA04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D198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7926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AB34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.)</w:t>
            </w:r>
          </w:p>
          <w:p w14:paraId="70AAC23A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1EA3131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lúky, pastviny,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agrocenózy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ruderály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(Lk1, Lk5)</w:t>
            </w:r>
          </w:p>
        </w:tc>
      </w:tr>
      <w:tr w:rsidR="003254F1" w14:paraId="36091EE6" w14:textId="77777777" w:rsidTr="00031CC2">
        <w:trPr>
          <w:trHeight w:val="15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A1F0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57EC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A324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1 %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E94EF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v zastúpení min. 1 %</w:t>
            </w:r>
          </w:p>
          <w:p w14:paraId="2BC4C011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V prípade kosenia, kosenie v období od augusta.</w:t>
            </w:r>
          </w:p>
        </w:tc>
      </w:tr>
    </w:tbl>
    <w:p w14:paraId="16F3256A" w14:textId="22F64A99" w:rsidR="003254F1" w:rsidRDefault="003254F1" w:rsidP="003254F1"/>
    <w:p w14:paraId="5D988A53" w14:textId="77777777" w:rsidR="00031CC2" w:rsidRDefault="00031CC2" w:rsidP="003254F1"/>
    <w:p w14:paraId="08EF0E68" w14:textId="77777777" w:rsidR="003254F1" w:rsidRDefault="003254F1" w:rsidP="003254F1">
      <w:r>
        <w:t xml:space="preserve">Zlepšenie stavu druhu </w:t>
      </w:r>
      <w:proofErr w:type="spellStart"/>
      <w:r>
        <w:rPr>
          <w:b/>
          <w:i/>
        </w:rPr>
        <w:t>Eriogaster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catax</w:t>
      </w:r>
      <w:proofErr w:type="spellEnd"/>
      <w:r>
        <w:rPr>
          <w:b/>
          <w:i/>
        </w:rPr>
        <w:t xml:space="preserve"> </w:t>
      </w:r>
      <w:r>
        <w:rPr>
          <w:szCs w:val="24"/>
        </w:rPr>
        <w:t>za splnenia nasledovných atribútov</w:t>
      </w:r>
    </w:p>
    <w:tbl>
      <w:tblPr>
        <w:tblW w:w="497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1418"/>
        <w:gridCol w:w="1417"/>
        <w:gridCol w:w="4344"/>
      </w:tblGrid>
      <w:tr w:rsidR="003254F1" w14:paraId="669A5C0A" w14:textId="77777777" w:rsidTr="00031CC2">
        <w:trPr>
          <w:trHeight w:val="53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8566A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807E9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44299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BAFF7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254F1" w14:paraId="5CC9C7CD" w14:textId="77777777" w:rsidTr="00031CC2">
        <w:trPr>
          <w:trHeight w:val="55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C625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6377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A6E5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300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70C9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území je evidovaný výskyt 100 až 300</w:t>
            </w:r>
            <w:r>
              <w:rPr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jedincov. </w:t>
            </w:r>
          </w:p>
        </w:tc>
      </w:tr>
      <w:tr w:rsidR="003254F1" w14:paraId="7598B0E8" w14:textId="77777777" w:rsidTr="00031CC2">
        <w:trPr>
          <w:trHeight w:val="441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FC2F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6274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CBA5" w14:textId="77777777" w:rsidR="003254F1" w:rsidRDefault="003254F1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321B3" w14:textId="77777777" w:rsidR="003254F1" w:rsidRDefault="003254F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>
              <w:rPr>
                <w:color w:val="000000"/>
                <w:sz w:val="20"/>
                <w:szCs w:val="20"/>
              </w:rPr>
              <w:t>ekotóny</w:t>
            </w:r>
            <w:proofErr w:type="spellEnd"/>
          </w:p>
          <w:p w14:paraId="2F7D50FC" w14:textId="14239DC4" w:rsidR="003254F1" w:rsidRDefault="003254F1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nelikvidovať celoplošne kroviny na pastvinách, nenechať kroviny prerasť v les (prítomnosť drevín, vrátane krovín v % max. 70%)</w:t>
            </w:r>
          </w:p>
        </w:tc>
      </w:tr>
      <w:tr w:rsidR="00031CC2" w14:paraId="3DF81774" w14:textId="77777777" w:rsidTr="00C6451B">
        <w:trPr>
          <w:trHeight w:val="441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6B226" w14:textId="6C4FAD25" w:rsidR="00031CC2" w:rsidRDefault="00031CC2" w:rsidP="00031CC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>kvalita biotopu</w:t>
            </w:r>
            <w:r>
              <w:rPr>
                <w:color w:val="000000"/>
                <w:sz w:val="20"/>
                <w:szCs w:val="20"/>
              </w:rPr>
              <w:t xml:space="preserve"> – prítomnosť </w:t>
            </w:r>
            <w:proofErr w:type="spellStart"/>
            <w:r>
              <w:rPr>
                <w:color w:val="000000"/>
                <w:sz w:val="20"/>
                <w:szCs w:val="20"/>
              </w:rPr>
              <w:t>sukcesných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20D0" w14:textId="47B261A5" w:rsidR="00031CC2" w:rsidRDefault="00031CC2" w:rsidP="00031CC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>% pokrytia náletových drevín a krov na plochu biotopu,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E4DD" w14:textId="77777777" w:rsidR="00031CC2" w:rsidRPr="007B47C5" w:rsidRDefault="00031CC2" w:rsidP="00031CC2">
            <w:pPr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>Sekundárna sukcesia max.</w:t>
            </w:r>
          </w:p>
          <w:p w14:paraId="6A50B7AB" w14:textId="77777777" w:rsidR="00031CC2" w:rsidRPr="007B47C5" w:rsidRDefault="00031CC2" w:rsidP="00031CC2">
            <w:pPr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 xml:space="preserve"> 70 % </w:t>
            </w:r>
          </w:p>
          <w:p w14:paraId="4E30B091" w14:textId="77777777" w:rsidR="00031CC2" w:rsidRDefault="00031CC2" w:rsidP="00031CC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2FC9B" w14:textId="7B4FC36B" w:rsidR="00031CC2" w:rsidRPr="007B47C5" w:rsidRDefault="00031CC2" w:rsidP="00031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Udržiavaná </w:t>
            </w:r>
            <w:r w:rsidRPr="007B47C5">
              <w:rPr>
                <w:color w:val="000000"/>
                <w:sz w:val="20"/>
                <w:szCs w:val="20"/>
              </w:rPr>
              <w:t>sekundárna sukcesia na lokalite max. 70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  <w:p w14:paraId="3CF27ED2" w14:textId="77777777" w:rsidR="00031CC2" w:rsidRDefault="00031CC2" w:rsidP="00031CC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</w:tr>
      <w:tr w:rsidR="00031CC2" w14:paraId="3CF0629D" w14:textId="77777777" w:rsidTr="00031CC2">
        <w:trPr>
          <w:trHeight w:val="112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1378A" w14:textId="4338B0DF" w:rsidR="00031CC2" w:rsidRDefault="00031CC2" w:rsidP="00031CC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>kvalita biotopu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7B47C5">
              <w:rPr>
                <w:color w:val="000000"/>
                <w:sz w:val="20"/>
                <w:szCs w:val="20"/>
              </w:rPr>
              <w:t>prítomnosť inváznych a potenciálne inváznych drevín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C9003" w14:textId="48C3152C" w:rsidR="00031CC2" w:rsidRDefault="00031CC2" w:rsidP="00031CC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 xml:space="preserve">% pokrytia inváznych rastlín na ploche biotopu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103A" w14:textId="25DA43E5" w:rsidR="00031CC2" w:rsidRDefault="00031CC2" w:rsidP="00031CC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>Invázne rastliny max. 3%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AC1D64" w14:textId="540C42B7" w:rsidR="00031CC2" w:rsidRDefault="00031CC2" w:rsidP="00031CC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B47C5">
              <w:rPr>
                <w:color w:val="000000"/>
                <w:sz w:val="20"/>
                <w:szCs w:val="20"/>
              </w:rPr>
              <w:t>invázne rastliny max. do 3%</w:t>
            </w:r>
          </w:p>
        </w:tc>
      </w:tr>
    </w:tbl>
    <w:p w14:paraId="6D040057" w14:textId="77777777" w:rsidR="003254F1" w:rsidRDefault="003254F1" w:rsidP="003254F1"/>
    <w:p w14:paraId="5D6018D7" w14:textId="77777777" w:rsidR="003254F1" w:rsidRDefault="003254F1" w:rsidP="003254F1">
      <w:pPr>
        <w:rPr>
          <w:rFonts w:eastAsia="Times New Roman"/>
          <w:i/>
          <w:color w:val="000000"/>
          <w:lang w:eastAsia="sk-SK"/>
        </w:rPr>
      </w:pPr>
      <w:r>
        <w:t xml:space="preserve">Zlepšenie stavu druhu </w:t>
      </w:r>
      <w:proofErr w:type="spellStart"/>
      <w:r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>
        <w:rPr>
          <w:rFonts w:eastAsia="Times New Roman"/>
          <w:i/>
          <w:color w:val="000000"/>
          <w:lang w:eastAsia="sk-SK"/>
        </w:rPr>
        <w:t xml:space="preserve"> </w:t>
      </w:r>
      <w:r>
        <w:rPr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843"/>
        <w:gridCol w:w="2075"/>
        <w:gridCol w:w="3670"/>
      </w:tblGrid>
      <w:tr w:rsidR="003254F1" w14:paraId="058D7414" w14:textId="77777777" w:rsidTr="00031CC2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E0A6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81366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D1AC1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2AC5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031CC2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254F1" w14:paraId="38EA1550" w14:textId="77777777" w:rsidTr="00031CC2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AD2B3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E6AD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3448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>
              <w:rPr>
                <w:rFonts w:eastAsia="Times New Roman"/>
                <w:sz w:val="20"/>
                <w:szCs w:val="20"/>
                <w:lang w:eastAsia="sk-SK"/>
              </w:rPr>
              <w:t>habitatový</w:t>
            </w:r>
            <w:proofErr w:type="spellEnd"/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strom/10ha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7D8B" w14:textId="351A0A42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10 – 50 jedincov (aktuál</w:t>
            </w:r>
            <w:r w:rsidR="00031CC2"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</w:p>
        </w:tc>
      </w:tr>
      <w:tr w:rsidR="003254F1" w14:paraId="1A22EB7A" w14:textId="77777777" w:rsidTr="00031CC2">
        <w:trPr>
          <w:trHeight w:val="93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7369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3259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06ACE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 xml:space="preserve">Min. 10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3EF2" w14:textId="77777777" w:rsidR="003254F1" w:rsidRDefault="003254F1">
            <w:pPr>
              <w:spacing w:line="256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jedincov solitérov min. na 20% územia</w:t>
            </w:r>
          </w:p>
          <w:p w14:paraId="06E1A927" w14:textId="43084D3C" w:rsidR="003254F1" w:rsidRDefault="003254F1">
            <w:pPr>
              <w:spacing w:line="256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Druh v území má len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suboptimálne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reprodukčné lokality</w:t>
            </w:r>
          </w:p>
        </w:tc>
      </w:tr>
      <w:tr w:rsidR="003254F1" w14:paraId="2A03E137" w14:textId="77777777" w:rsidTr="00031CC2">
        <w:trPr>
          <w:trHeight w:val="6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6489" w14:textId="77777777" w:rsidR="003254F1" w:rsidRDefault="003254F1">
            <w:pPr>
              <w:spacing w:line="256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C4F8" w14:textId="6B1A6BB4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Počet ponechaných starších jedincov drevín nad 80 rokov/10</w:t>
            </w:r>
            <w:r w:rsidR="00031CC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ha na dožitie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38D5" w14:textId="172E6D0E" w:rsidR="003254F1" w:rsidRDefault="00031CC2" w:rsidP="00031CC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min. 3 starších</w:t>
            </w:r>
            <w:r w:rsidR="003254F1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ov</w:t>
            </w:r>
            <w:r w:rsidR="003254F1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31BF2" w14:textId="77777777" w:rsidR="003254F1" w:rsidRDefault="003254F1">
            <w:pPr>
              <w:spacing w:line="256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Dosiahnuť považovaný počet min. 3 starších stromov na 10 ha.</w:t>
            </w:r>
          </w:p>
        </w:tc>
      </w:tr>
    </w:tbl>
    <w:p w14:paraId="71E3CDB3" w14:textId="77777777" w:rsidR="003254F1" w:rsidRDefault="003254F1" w:rsidP="003254F1">
      <w:pPr>
        <w:pStyle w:val="Zkladntext"/>
        <w:widowControl w:val="0"/>
        <w:jc w:val="left"/>
        <w:rPr>
          <w:b w:val="0"/>
        </w:rPr>
      </w:pPr>
    </w:p>
    <w:p w14:paraId="6C626437" w14:textId="77777777" w:rsidR="003254F1" w:rsidRDefault="003254F1" w:rsidP="003254F1">
      <w:r>
        <w:t xml:space="preserve">Zlepšenie stavu druhu </w:t>
      </w:r>
      <w:proofErr w:type="spellStart"/>
      <w:r>
        <w:rPr>
          <w:b/>
          <w:i/>
          <w:szCs w:val="24"/>
        </w:rPr>
        <w:t>Euplagia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quadripunctaria</w:t>
      </w:r>
      <w:proofErr w:type="spellEnd"/>
      <w:r>
        <w:rPr>
          <w:szCs w:val="24"/>
        </w:rPr>
        <w:t xml:space="preserve"> za splnenia nasledovných atribútov</w:t>
      </w:r>
      <w:r>
        <w:rPr>
          <w:shd w:val="clear" w:color="auto" w:fill="FFFFFF"/>
        </w:rPr>
        <w:t>: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244"/>
        <w:gridCol w:w="1539"/>
        <w:gridCol w:w="4038"/>
      </w:tblGrid>
      <w:tr w:rsidR="003254F1" w14:paraId="7F80E7FD" w14:textId="77777777" w:rsidTr="003254F1">
        <w:trPr>
          <w:trHeight w:val="387"/>
        </w:trPr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AB9050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Parameter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CC0A20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Merateľnosť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AD6F40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Cieľová hodnota</w:t>
            </w:r>
          </w:p>
        </w:tc>
        <w:tc>
          <w:tcPr>
            <w:tcW w:w="4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91CD62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Doplnkové informácie</w:t>
            </w:r>
          </w:p>
        </w:tc>
      </w:tr>
      <w:tr w:rsidR="003254F1" w14:paraId="2DAE41D9" w14:textId="77777777" w:rsidTr="003254F1">
        <w:trPr>
          <w:trHeight w:val="553"/>
        </w:trPr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50C861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23E145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85D81A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4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C03497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 súčasnosti sa odhaduje veľkosť populácie na  100 – 1000 jedincov (aktuálny údaj / z SDF)</w:t>
            </w:r>
          </w:p>
        </w:tc>
      </w:tr>
      <w:tr w:rsidR="003254F1" w14:paraId="6285B8D0" w14:textId="77777777" w:rsidTr="003254F1">
        <w:trPr>
          <w:trHeight w:val="751"/>
        </w:trPr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20F621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8F10BA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818703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sk-SK"/>
              </w:rPr>
              <w:t xml:space="preserve">Min. 30 </w:t>
            </w:r>
          </w:p>
        </w:tc>
        <w:tc>
          <w:tcPr>
            <w:tcW w:w="4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2556F4" w14:textId="112B681E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lesostepné a krovinaté biotopy; zach</w:t>
            </w:r>
            <w:r w:rsidR="00031CC2">
              <w:rPr>
                <w:rFonts w:eastAsia="Times New Roman"/>
                <w:sz w:val="20"/>
                <w:szCs w:val="20"/>
              </w:rPr>
              <w:t>ovať členité  lesné porasty s ní</w:t>
            </w:r>
            <w:r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výrub náletových drevín a krov</w:t>
            </w:r>
          </w:p>
        </w:tc>
      </w:tr>
      <w:tr w:rsidR="003254F1" w14:paraId="07BD50D7" w14:textId="77777777" w:rsidTr="003254F1">
        <w:trPr>
          <w:trHeight w:val="950"/>
        </w:trPr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E6B07B" w14:textId="1EF1A2FB" w:rsidR="003254F1" w:rsidRDefault="00031CC2" w:rsidP="00031CC2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kvalita biotopu - p</w:t>
            </w:r>
            <w:r w:rsidR="003254F1">
              <w:rPr>
                <w:rFonts w:eastAsia="Times New Roman"/>
                <w:sz w:val="20"/>
                <w:szCs w:val="20"/>
              </w:rPr>
              <w:t xml:space="preserve">rítomnosť kvitnúcich medonosných rastlín (napr. </w:t>
            </w:r>
            <w:proofErr w:type="spellStart"/>
            <w:r w:rsidR="003254F1">
              <w:rPr>
                <w:rFonts w:eastAsia="Times New Roman"/>
                <w:i/>
                <w:sz w:val="20"/>
                <w:szCs w:val="20"/>
              </w:rPr>
              <w:t>Sambucus</w:t>
            </w:r>
            <w:proofErr w:type="spellEnd"/>
            <w:r w:rsidR="003254F1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254F1">
              <w:rPr>
                <w:rFonts w:eastAsia="Times New Roman"/>
                <w:i/>
                <w:sz w:val="20"/>
                <w:szCs w:val="20"/>
              </w:rPr>
              <w:t>ebulus</w:t>
            </w:r>
            <w:proofErr w:type="spellEnd"/>
            <w:r w:rsidR="003254F1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3254F1">
              <w:rPr>
                <w:rFonts w:eastAsia="Times New Roman"/>
                <w:i/>
                <w:sz w:val="20"/>
                <w:szCs w:val="20"/>
              </w:rPr>
              <w:t>Eupatorium</w:t>
            </w:r>
            <w:proofErr w:type="spellEnd"/>
            <w:r w:rsidR="003254F1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254F1">
              <w:rPr>
                <w:rFonts w:eastAsia="Times New Roman"/>
                <w:i/>
                <w:sz w:val="20"/>
                <w:szCs w:val="20"/>
              </w:rPr>
              <w:t>cannabinum</w:t>
            </w:r>
            <w:proofErr w:type="spellEnd"/>
            <w:r w:rsidR="003254F1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3254F1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="003254F1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254F1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="003254F1">
              <w:rPr>
                <w:rFonts w:eastAsia="Times New Roman"/>
                <w:sz w:val="20"/>
                <w:szCs w:val="20"/>
              </w:rPr>
              <w:t xml:space="preserve"> a i.)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0D541A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600EC2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1 %</w:t>
            </w:r>
          </w:p>
        </w:tc>
        <w:tc>
          <w:tcPr>
            <w:tcW w:w="4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313DA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</w:tbl>
    <w:p w14:paraId="04D2F5E4" w14:textId="77777777" w:rsidR="003254F1" w:rsidRDefault="003254F1" w:rsidP="003254F1"/>
    <w:p w14:paraId="2C2FDEA2" w14:textId="77777777" w:rsidR="003254F1" w:rsidRDefault="003254F1" w:rsidP="003254F1">
      <w:r>
        <w:t xml:space="preserve">Zachovanie stavu druhu </w:t>
      </w:r>
      <w:proofErr w:type="spellStart"/>
      <w:r>
        <w:rPr>
          <w:b/>
          <w:i/>
          <w:szCs w:val="24"/>
        </w:rPr>
        <w:t>Euphydryas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maturna</w:t>
      </w:r>
      <w:proofErr w:type="spellEnd"/>
      <w:r>
        <w:rPr>
          <w:b/>
          <w:i/>
          <w:szCs w:val="24"/>
        </w:rPr>
        <w:t xml:space="preserve"> </w:t>
      </w:r>
      <w:r>
        <w:rPr>
          <w:szCs w:val="24"/>
        </w:rPr>
        <w:t>za splnenia nasledovných atribútov:</w:t>
      </w:r>
    </w:p>
    <w:tbl>
      <w:tblPr>
        <w:tblW w:w="5045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345"/>
        <w:gridCol w:w="2126"/>
        <w:gridCol w:w="3970"/>
      </w:tblGrid>
      <w:tr w:rsidR="003254F1" w14:paraId="77169E0E" w14:textId="77777777" w:rsidTr="00031CC2">
        <w:trPr>
          <w:trHeight w:val="3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A62C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BE1A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B64D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6D0F" w14:textId="77777777" w:rsidR="003254F1" w:rsidRPr="00031CC2" w:rsidRDefault="003254F1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1CC2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254F1" w14:paraId="64BECAC6" w14:textId="77777777" w:rsidTr="00031CC2">
        <w:trPr>
          <w:trHeight w:val="3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A7579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97C7F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9F04C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200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7D7B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Zachovanie početnosti populácie, v súčasnosti sa odhaduje na 50 až 200 jedincov </w:t>
            </w:r>
          </w:p>
        </w:tc>
      </w:tr>
      <w:tr w:rsidR="003254F1" w14:paraId="024C0AB1" w14:textId="77777777" w:rsidTr="00031CC2">
        <w:trPr>
          <w:trHeight w:val="93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E7C6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423C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EF78D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AA86" w14:textId="7B318872" w:rsidR="003254F1" w:rsidRDefault="003254F1">
            <w:pPr>
              <w:spacing w:line="254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Lesné čistiny, presvetlené lesy s výskytom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 s výskytom </w:t>
            </w:r>
            <w:proofErr w:type="spellStart"/>
            <w:r w:rsidR="00031CC2">
              <w:rPr>
                <w:rFonts w:eastAsia="Times New Roman"/>
                <w:i/>
                <w:color w:val="000000"/>
                <w:sz w:val="20"/>
                <w:szCs w:val="20"/>
              </w:rPr>
              <w:t>Ligu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strum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v podraste, okolie lesných ciest, </w:t>
            </w:r>
          </w:p>
          <w:p w14:paraId="69E49C46" w14:textId="153EE550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udržovať lesné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sve</w:t>
            </w:r>
            <w:r w:rsidR="00031CC2">
              <w:rPr>
                <w:rFonts w:eastAsia="Times New Roman"/>
                <w:color w:val="000000"/>
                <w:sz w:val="20"/>
                <w:szCs w:val="20"/>
              </w:rPr>
              <w:t>tliny</w:t>
            </w:r>
            <w:proofErr w:type="spellEnd"/>
            <w:r w:rsidR="00031CC2">
              <w:rPr>
                <w:rFonts w:eastAsia="Times New Roman"/>
                <w:color w:val="000000"/>
                <w:sz w:val="20"/>
                <w:szCs w:val="20"/>
              </w:rPr>
              <w:t xml:space="preserve"> a širšie lemy pri lesných cestách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>, na týchto miestach vysadiť jednotlivo jasene a udržovať v nízkej forme</w:t>
            </w:r>
          </w:p>
        </w:tc>
      </w:tr>
      <w:tr w:rsidR="003254F1" w14:paraId="4C048421" w14:textId="77777777" w:rsidTr="00031CC2">
        <w:trPr>
          <w:trHeight w:val="155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D2F0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kvalita biotopu druhu – s výskytom živných rastlín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023B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 príp. 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94F06" w14:textId="77777777" w:rsidR="003254F1" w:rsidRDefault="003254F1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Min. 10%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na každej evidovanej lokalite,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min. 1 %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7EDC" w14:textId="77777777" w:rsidR="003254F1" w:rsidRDefault="003254F1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zachovanie presvetlených lesných porastov s lemovými spoločenstvami s hostiteľskou rastlinou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v zastúpení min. 10%</w:t>
            </w:r>
          </w:p>
        </w:tc>
      </w:tr>
    </w:tbl>
    <w:p w14:paraId="644DC765" w14:textId="77777777" w:rsidR="003254F1" w:rsidRDefault="003254F1" w:rsidP="003254F1"/>
    <w:p w14:paraId="16E74CA1" w14:textId="77777777" w:rsidR="003254F1" w:rsidRDefault="003254F1" w:rsidP="003254F1"/>
    <w:p w14:paraId="42737549" w14:textId="77777777" w:rsidR="003254F1" w:rsidRDefault="003254F1" w:rsidP="003254F1"/>
    <w:p w14:paraId="62673F38" w14:textId="77777777" w:rsidR="003254F1" w:rsidRDefault="003254F1" w:rsidP="003254F1"/>
    <w:p w14:paraId="185E3961" w14:textId="77777777" w:rsidR="00F560F1" w:rsidRDefault="00F560F1" w:rsidP="003254F1"/>
    <w:sectPr w:rsidR="00F5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31CC2"/>
    <w:rsid w:val="00065DE6"/>
    <w:rsid w:val="000A4F43"/>
    <w:rsid w:val="000E4411"/>
    <w:rsid w:val="001C1B63"/>
    <w:rsid w:val="001C5713"/>
    <w:rsid w:val="00207D8B"/>
    <w:rsid w:val="0026126E"/>
    <w:rsid w:val="00301394"/>
    <w:rsid w:val="00311353"/>
    <w:rsid w:val="00315ED4"/>
    <w:rsid w:val="003254F1"/>
    <w:rsid w:val="0034343B"/>
    <w:rsid w:val="00343535"/>
    <w:rsid w:val="00350199"/>
    <w:rsid w:val="0036159F"/>
    <w:rsid w:val="00442823"/>
    <w:rsid w:val="004F7434"/>
    <w:rsid w:val="00577A3C"/>
    <w:rsid w:val="0059408B"/>
    <w:rsid w:val="005C179B"/>
    <w:rsid w:val="0060686A"/>
    <w:rsid w:val="00610A9E"/>
    <w:rsid w:val="00625435"/>
    <w:rsid w:val="0068078E"/>
    <w:rsid w:val="006C1712"/>
    <w:rsid w:val="006C6B2D"/>
    <w:rsid w:val="00700F12"/>
    <w:rsid w:val="007162C0"/>
    <w:rsid w:val="00723DDF"/>
    <w:rsid w:val="00730E44"/>
    <w:rsid w:val="007B2A99"/>
    <w:rsid w:val="007E17F5"/>
    <w:rsid w:val="008334A2"/>
    <w:rsid w:val="00885ADC"/>
    <w:rsid w:val="008C33F7"/>
    <w:rsid w:val="009248FD"/>
    <w:rsid w:val="009B7037"/>
    <w:rsid w:val="00A025D2"/>
    <w:rsid w:val="00A6331E"/>
    <w:rsid w:val="00A64F08"/>
    <w:rsid w:val="00B07C22"/>
    <w:rsid w:val="00B57ED1"/>
    <w:rsid w:val="00B81822"/>
    <w:rsid w:val="00CF2E50"/>
    <w:rsid w:val="00D11521"/>
    <w:rsid w:val="00D31300"/>
    <w:rsid w:val="00D44504"/>
    <w:rsid w:val="00D5680A"/>
    <w:rsid w:val="00D67D7C"/>
    <w:rsid w:val="00DF69AC"/>
    <w:rsid w:val="00E30B59"/>
    <w:rsid w:val="00E434CB"/>
    <w:rsid w:val="00E43A23"/>
    <w:rsid w:val="00EA1DAE"/>
    <w:rsid w:val="00F063E6"/>
    <w:rsid w:val="00F33CC8"/>
    <w:rsid w:val="00F560F1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2023-12-22T10:01:00Z</dcterms:created>
  <dcterms:modified xsi:type="dcterms:W3CDTF">2023-12-22T10:01:00Z</dcterms:modified>
</cp:coreProperties>
</file>