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EC" w:rsidRPr="00F019EC" w:rsidRDefault="00F019EC" w:rsidP="00F019EC">
      <w:pPr>
        <w:pStyle w:val="Bezriadkovania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EC">
        <w:rPr>
          <w:rFonts w:ascii="Times New Roman" w:hAnsi="Times New Roman" w:cs="Times New Roman"/>
          <w:b/>
          <w:sz w:val="28"/>
          <w:szCs w:val="28"/>
        </w:rPr>
        <w:t>C</w:t>
      </w:r>
      <w:r w:rsidRPr="00F019EC">
        <w:rPr>
          <w:rFonts w:ascii="Times New Roman" w:hAnsi="Times New Roman" w:cs="Times New Roman"/>
          <w:b/>
          <w:sz w:val="28"/>
          <w:szCs w:val="28"/>
        </w:rPr>
        <w:t xml:space="preserve">iele ochrany </w:t>
      </w:r>
      <w:r w:rsidRPr="00F019EC">
        <w:rPr>
          <w:rStyle w:val="Nadpis3Char"/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SKUEV</w:t>
      </w:r>
      <w:r w:rsidRPr="00F01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0352 </w:t>
      </w:r>
      <w:proofErr w:type="spellStart"/>
      <w:r w:rsidRPr="00F01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Hrušovská</w:t>
      </w:r>
      <w:proofErr w:type="spellEnd"/>
      <w:r w:rsidRPr="00F019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lesostep</w:t>
      </w:r>
    </w:p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</w:t>
      </w:r>
      <w:bookmarkStart w:id="0" w:name="_GoBack"/>
      <w:bookmarkEnd w:id="0"/>
      <w:r w:rsidRPr="00FA68E1">
        <w:rPr>
          <w:b w:val="0"/>
          <w:color w:val="000000"/>
        </w:rPr>
        <w:t>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F019EC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F019EC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F019EC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F019EC" w:rsidRPr="00FA68E1" w:rsidRDefault="00F019EC" w:rsidP="00EF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9EC" w:rsidRPr="00FA68E1" w:rsidRDefault="00F019EC" w:rsidP="00EF3711">
            <w:pPr>
              <w:spacing w:line="27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a/alebo</w:t>
            </w:r>
            <w:r w:rsidRPr="00FA68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minimálne 30%)</w:t>
            </w:r>
          </w:p>
          <w:p w:rsidR="00F019EC" w:rsidRPr="00FA68E1" w:rsidRDefault="00F019EC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F019EC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019EC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F019EC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Zabezpečenie prítomnosti odumretého dreva na ploche biotopu v danom objeme.</w:t>
            </w:r>
          </w:p>
        </w:tc>
      </w:tr>
    </w:tbl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Pi5 (6110*) Pionierske porasty na plytkých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1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F019EC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súčasnú výmeru biotopu</w:t>
            </w:r>
          </w:p>
        </w:tc>
      </w:tr>
      <w:tr w:rsidR="00F019EC" w:rsidRPr="00FA68E1" w:rsidTr="00EF3711">
        <w:trPr>
          <w:trHeight w:val="2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30%, krovinová  a drevinová etáž zapojená max. na 15%.</w:t>
            </w:r>
          </w:p>
        </w:tc>
      </w:tr>
      <w:tr w:rsidR="00F019EC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  <w:sz w:val="20"/>
          <w:szCs w:val="20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F019EC" w:rsidRPr="00FA68E1" w:rsidTr="00EF3711">
        <w:trPr>
          <w:trHeight w:val="305"/>
        </w:trPr>
        <w:tc>
          <w:tcPr>
            <w:tcW w:w="1702" w:type="dxa"/>
            <w:shd w:val="clear" w:color="auto" w:fill="FFFFFF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FFFFFF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1,33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výmeru biotopu.</w:t>
            </w:r>
          </w:p>
        </w:tc>
      </w:tr>
      <w:tr w:rsidR="00F019EC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F019EC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Tr2 (6240*)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Subpanónske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travinnobylinné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276"/>
        <w:gridCol w:w="1417"/>
        <w:gridCol w:w="5196"/>
      </w:tblGrid>
      <w:tr w:rsidR="00F019EC" w:rsidRPr="00FA68E1" w:rsidTr="00EF3711">
        <w:trPr>
          <w:trHeight w:val="705"/>
        </w:trPr>
        <w:tc>
          <w:tcPr>
            <w:tcW w:w="1657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019EC" w:rsidRPr="00FA68E1" w:rsidTr="00EF3711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2,43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existujúcu výmeru biotopu. </w:t>
            </w:r>
          </w:p>
        </w:tc>
      </w:tr>
      <w:tr w:rsidR="00F019EC" w:rsidRPr="00FA68E1" w:rsidTr="00EF3711">
        <w:trPr>
          <w:trHeight w:val="563"/>
        </w:trPr>
        <w:tc>
          <w:tcPr>
            <w:tcW w:w="165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F019EC" w:rsidRPr="00FA68E1" w:rsidTr="00EF3711">
        <w:trPr>
          <w:trHeight w:val="290"/>
        </w:trPr>
        <w:tc>
          <w:tcPr>
            <w:tcW w:w="165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F019EC" w:rsidRPr="00FA68E1" w:rsidTr="00EF3711">
        <w:trPr>
          <w:trHeight w:val="404"/>
        </w:trPr>
        <w:tc>
          <w:tcPr>
            <w:tcW w:w="165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7"/>
      </w:tblGrid>
      <w:tr w:rsidR="00F019EC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2.02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Udržať výmeru biotopu </w:t>
            </w:r>
          </w:p>
        </w:tc>
      </w:tr>
      <w:tr w:rsidR="00F019EC" w:rsidRPr="00FA68E1" w:rsidTr="00EF3711">
        <w:trPr>
          <w:trHeight w:val="140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F019EC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pokrytia/16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  <w:sz w:val="20"/>
          <w:szCs w:val="20"/>
        </w:rPr>
      </w:pPr>
    </w:p>
    <w:p w:rsidR="00F019EC" w:rsidRPr="00FA68E1" w:rsidRDefault="00F019EC" w:rsidP="00F019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F019EC" w:rsidRPr="00FA68E1" w:rsidTr="00EF3711">
        <w:trPr>
          <w:trHeight w:val="482"/>
        </w:trPr>
        <w:tc>
          <w:tcPr>
            <w:tcW w:w="1702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0,19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 druh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ruta-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muraria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trichomanes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Asplenium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carpatica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Cardaminopsis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digitata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Cystopteris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Galeobdolon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luteum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robertianum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Mycelis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muralis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Phyllitis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scolopendrium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Primula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auricula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tripteris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drevín na skalných útvaroch.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F019EC" w:rsidRPr="00FA68E1" w:rsidRDefault="00F019EC" w:rsidP="00F019E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F019EC" w:rsidRPr="00FA68E1" w:rsidTr="00EF3711">
        <w:trPr>
          <w:trHeight w:val="448"/>
        </w:trPr>
        <w:tc>
          <w:tcPr>
            <w:tcW w:w="1702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F019EC" w:rsidRPr="00FA68E1" w:rsidTr="00EF3711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19EC" w:rsidRPr="00FA68E1" w:rsidRDefault="00F019EC" w:rsidP="00F019EC">
      <w:pPr>
        <w:pStyle w:val="Zkladntext"/>
        <w:widowControl w:val="0"/>
        <w:jc w:val="left"/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</w:rPr>
        <w:t>Pulsatilla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grandis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47"/>
        <w:gridCol w:w="1483"/>
        <w:gridCol w:w="1320"/>
        <w:gridCol w:w="5335"/>
      </w:tblGrid>
      <w:tr w:rsidR="00F019EC" w:rsidRPr="00FA68E1" w:rsidTr="00EF3711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2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Zachovanie súčasnej populácie druhu, ktorá sa vyskytuje v intervale 50 až 150 jedincov. </w:t>
            </w:r>
          </w:p>
        </w:tc>
      </w:tr>
      <w:tr w:rsidR="00F019EC" w:rsidRPr="00FA68E1" w:rsidTr="00EF3711">
        <w:trPr>
          <w:trHeight w:val="285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0,97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F019EC" w:rsidRPr="00FA68E1" w:rsidTr="00EF3711">
        <w:trPr>
          <w:trHeight w:val="93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hirta</w:t>
            </w:r>
            <w:proofErr w:type="spellEnd"/>
          </w:p>
        </w:tc>
      </w:tr>
      <w:tr w:rsidR="00F019EC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F019EC" w:rsidRPr="00FA68E1" w:rsidTr="00EF3711">
        <w:trPr>
          <w:trHeight w:val="23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 (%) pokrytia / ha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0 %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Zachovanie stavu druhu </w:t>
      </w:r>
      <w:proofErr w:type="spellStart"/>
      <w:r w:rsidRPr="00FA68E1">
        <w:rPr>
          <w:i/>
        </w:rPr>
        <w:t>Stenobothrus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eurasius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F019EC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na  1000 až 5000 jedincov, cieľom je stabilná populácia druhu v území</w:t>
            </w:r>
          </w:p>
        </w:tc>
      </w:tr>
      <w:tr w:rsidR="00F019EC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 ha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výmery biotopu druhu na 4 ha</w:t>
            </w:r>
          </w:p>
        </w:tc>
      </w:tr>
      <w:tr w:rsidR="00F019EC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okrajov, príp. s extenzívnym obhospodarovaním pastvou alebo kosením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Isophya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stysi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751"/>
        <w:gridCol w:w="1672"/>
        <w:gridCol w:w="3895"/>
      </w:tblGrid>
      <w:tr w:rsidR="00F019EC" w:rsidRPr="00FA68E1" w:rsidTr="00EF3711">
        <w:trPr>
          <w:trHeight w:val="3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31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na 0 až 5000 jedincov </w:t>
            </w:r>
          </w:p>
        </w:tc>
      </w:tr>
      <w:tr w:rsidR="00F019EC" w:rsidRPr="00FA68E1" w:rsidTr="00EF3711">
        <w:trPr>
          <w:trHeight w:val="62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 ha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udržanie výmery biotopu druhu na 4 ha</w:t>
            </w:r>
          </w:p>
        </w:tc>
      </w:tr>
      <w:tr w:rsidR="00F019EC" w:rsidRPr="00FA68E1" w:rsidTr="00EF3711">
        <w:trPr>
          <w:trHeight w:val="930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 druhu zabezpečená prítomnosťou zachovalých kosných lúk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obhospodarovaných lúk kosením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euryale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47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1543"/>
        <w:gridCol w:w="1559"/>
        <w:gridCol w:w="4537"/>
      </w:tblGrid>
      <w:tr w:rsidR="00F019EC" w:rsidRPr="00FA68E1" w:rsidTr="00EF3711">
        <w:trPr>
          <w:trHeight w:val="8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8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10 až 100 jedincov, je potrebný monitoring stavu populácie druhu.</w:t>
            </w:r>
          </w:p>
        </w:tc>
      </w:tr>
      <w:tr w:rsidR="00F019EC" w:rsidRPr="00FA68E1" w:rsidTr="00EF3711">
        <w:trPr>
          <w:trHeight w:val="930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reprodukčného/ potravného biotopu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 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Lesné biotopy v celom území – poskytujú potravné biotopy pre uvedený druh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F019EC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(zaznamenanie 0 až 20 jedincov v rámci celého ÚEV na zimoviskách)</w:t>
            </w:r>
          </w:p>
        </w:tc>
      </w:tr>
      <w:tr w:rsidR="00F019EC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4 známy výskyt zimoviska uvedeného druhu.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F019EC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(zaznamenanie 20 až 50 jedincov v rámci celého ÚEV na zimoviskách).</w:t>
            </w:r>
          </w:p>
        </w:tc>
      </w:tr>
      <w:tr w:rsidR="00F019EC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4 známe zimoviská uvedeného druhu v danom ÚEV.</w:t>
            </w:r>
          </w:p>
        </w:tc>
      </w:tr>
      <w:tr w:rsidR="00F019EC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a príležitostné úkrytové biotopy.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344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2"/>
        <w:gridCol w:w="1279"/>
        <w:gridCol w:w="2327"/>
        <w:gridCol w:w="4457"/>
      </w:tblGrid>
      <w:tr w:rsidR="00F019EC" w:rsidRPr="00FA68E1" w:rsidTr="00EF3711">
        <w:trPr>
          <w:trHeight w:val="3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27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0 až 5 jedincov v rámci celého ÚEV na zimoviskách).</w:t>
            </w:r>
          </w:p>
        </w:tc>
      </w:tr>
      <w:tr w:rsidR="00F019EC" w:rsidRPr="00FA68E1" w:rsidTr="00EF3711">
        <w:trPr>
          <w:trHeight w:val="9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 súčasnosti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neevidujemežiadne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zimovisko uvedeného druhu v danom ÚEV.</w:t>
            </w:r>
          </w:p>
        </w:tc>
      </w:tr>
      <w:tr w:rsidR="00F019EC" w:rsidRPr="00FA68E1" w:rsidTr="00EF3711">
        <w:trPr>
          <w:trHeight w:val="93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biotopu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Min.40 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Lesné biotopy v území – poskytujú lokality na rozmnožovanie, potravné biotopy a úkrytové biotopy. Potreba zachovania starých na bútľavé a 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dutinaté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stromy bohatých porastov. 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F019EC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 evidovaný výskyt (zaznamenanie 0 až 10 jedincov v rámci celého ÚEV na zimoviskách)</w:t>
            </w:r>
          </w:p>
        </w:tc>
      </w:tr>
      <w:tr w:rsidR="00F019EC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F019EC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40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potravné biotopy pre daný druh.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F019EC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početnosť 10 až 30 jedincov v rámci celého ÚEV </w:t>
            </w:r>
          </w:p>
        </w:tc>
      </w:tr>
      <w:tr w:rsidR="00F019EC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F019EC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9EC" w:rsidRPr="00FA68E1" w:rsidRDefault="00F019EC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 Potreba zachovania starých na bútľavé a 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dutinaté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stromy bohatých porastov.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lynx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F019EC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019EC" w:rsidRPr="00FA68E1" w:rsidTr="00EF3711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Minimálny počet 2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Odhadnutý počet jedincov v súčasnosti do 2, potrebné zvýšenie početnosti populácie.</w:t>
            </w:r>
          </w:p>
        </w:tc>
      </w:tr>
      <w:tr w:rsidR="00F019EC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40 ha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Veľkosť teritória 1 exemplára je väčšia</w:t>
            </w:r>
            <w:r w:rsidRPr="00FA68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ako celá výmera UEV. Zabezpečiť rozšírenie územia.</w:t>
            </w:r>
          </w:p>
        </w:tc>
      </w:tr>
      <w:tr w:rsidR="00F019EC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Podiel zastavaného územia (%) a turistickej infraštruktúry (m)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Maximálny podiel zastaveného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úzenia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0% a maximálne 800 metrov turistických a náučných chodníkov</w:t>
            </w:r>
          </w:p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V biotopoch v súčasnosti ponechaných na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samovývoj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vylúčiť budovanie stavieb a rozširovať turistickú infraštruktúru. </w:t>
            </w:r>
          </w:p>
        </w:tc>
      </w:tr>
      <w:tr w:rsidR="00F019EC" w:rsidRPr="00FA68E1" w:rsidTr="00EF3711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Zachované migračné koridory v území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19EC" w:rsidRPr="00FA68E1" w:rsidRDefault="00F019EC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Umožnené prepojenie populácií s UEV Horný vrch</w:t>
            </w:r>
          </w:p>
        </w:tc>
      </w:tr>
    </w:tbl>
    <w:p w:rsidR="00F019EC" w:rsidRPr="00FA68E1" w:rsidRDefault="00F019EC" w:rsidP="00F019EC">
      <w:pPr>
        <w:rPr>
          <w:rFonts w:ascii="Times New Roman" w:hAnsi="Times New Roman" w:cs="Times New Roman"/>
        </w:rPr>
      </w:pPr>
    </w:p>
    <w:p w:rsidR="00F019EC" w:rsidRPr="00FA68E1" w:rsidRDefault="00F019EC" w:rsidP="00F019EC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C"/>
    <w:rsid w:val="004F7434"/>
    <w:rsid w:val="00F0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B3B9"/>
  <w15:chartTrackingRefBased/>
  <w15:docId w15:val="{9845533E-92A2-44A7-9262-1EF5B805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9E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01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01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01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01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F019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F019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riadkovania">
    <w:name w:val="No Spacing"/>
    <w:uiPriority w:val="1"/>
    <w:qFormat/>
    <w:rsid w:val="00F01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2023-01-10T13:55:00Z</dcterms:created>
  <dcterms:modified xsi:type="dcterms:W3CDTF">2023-01-10T13:55:00Z</dcterms:modified>
</cp:coreProperties>
</file>