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EC" w:rsidRPr="00F019EC" w:rsidRDefault="00F019EC" w:rsidP="00F019EC">
      <w:pPr>
        <w:pStyle w:val="Bezriadkovani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9EC">
        <w:rPr>
          <w:rFonts w:ascii="Times New Roman" w:hAnsi="Times New Roman" w:cs="Times New Roman"/>
          <w:b/>
          <w:sz w:val="28"/>
          <w:szCs w:val="28"/>
        </w:rPr>
        <w:t>C</w:t>
      </w:r>
      <w:r w:rsidRPr="00F019EC">
        <w:rPr>
          <w:rFonts w:ascii="Times New Roman" w:hAnsi="Times New Roman" w:cs="Times New Roman"/>
          <w:b/>
          <w:sz w:val="28"/>
          <w:szCs w:val="28"/>
        </w:rPr>
        <w:t xml:space="preserve">iele ochrany </w:t>
      </w:r>
      <w:r w:rsidRPr="00F019EC">
        <w:rPr>
          <w:rStyle w:val="Nadpis3Char"/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SKUEV</w:t>
      </w:r>
      <w:r w:rsidRPr="00F01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0352 </w:t>
      </w:r>
      <w:proofErr w:type="spellStart"/>
      <w:r w:rsidRPr="00F01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Hrušovská</w:t>
      </w:r>
      <w:proofErr w:type="spellEnd"/>
      <w:r w:rsidRPr="00F01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lesostep</w:t>
      </w:r>
    </w:p>
    <w:p w:rsidR="00F019EC" w:rsidRPr="00FA68E1" w:rsidRDefault="00F019EC" w:rsidP="00F019EC">
      <w:pPr>
        <w:rPr>
          <w:rFonts w:ascii="Times New Roman" w:hAnsi="Times New Roman" w:cs="Times New Roman"/>
        </w:rPr>
      </w:pPr>
    </w:p>
    <w:p w:rsidR="00F019EC" w:rsidRPr="00FA68E1" w:rsidRDefault="00F019EC" w:rsidP="00F019EC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FA68E1">
        <w:rPr>
          <w:b w:val="0"/>
          <w:color w:val="000000"/>
        </w:rPr>
        <w:t>Zlepšenie stavu b</w:t>
      </w:r>
      <w:bookmarkStart w:id="0" w:name="_GoBack"/>
      <w:bookmarkEnd w:id="0"/>
      <w:r w:rsidRPr="00FA68E1">
        <w:rPr>
          <w:b w:val="0"/>
          <w:color w:val="000000"/>
        </w:rPr>
        <w:t>iotopu</w:t>
      </w:r>
      <w:r w:rsidRPr="00FA68E1">
        <w:rPr>
          <w:color w:val="000000"/>
        </w:rPr>
        <w:t xml:space="preserve"> Ls3.1 </w:t>
      </w:r>
      <w:r w:rsidRPr="00FA68E1">
        <w:rPr>
          <w:bCs w:val="0"/>
          <w:color w:val="000000"/>
          <w:shd w:val="clear" w:color="auto" w:fill="FFFFFF"/>
        </w:rPr>
        <w:t>(</w:t>
      </w:r>
      <w:r w:rsidRPr="00FA68E1">
        <w:rPr>
          <w:color w:val="000000"/>
          <w:lang w:eastAsia="sk-SK"/>
        </w:rPr>
        <w:t>91H0*</w:t>
      </w:r>
      <w:r w:rsidRPr="00FA68E1">
        <w:rPr>
          <w:bCs w:val="0"/>
          <w:color w:val="000000"/>
          <w:shd w:val="clear" w:color="auto" w:fill="FFFFFF"/>
        </w:rPr>
        <w:t xml:space="preserve">) Teplomilné </w:t>
      </w:r>
      <w:proofErr w:type="spellStart"/>
      <w:r w:rsidRPr="00FA68E1">
        <w:rPr>
          <w:bCs w:val="0"/>
          <w:color w:val="000000"/>
          <w:shd w:val="clear" w:color="auto" w:fill="FFFFFF"/>
        </w:rPr>
        <w:t>submediteránne</w:t>
      </w:r>
      <w:proofErr w:type="spellEnd"/>
      <w:r w:rsidRPr="00FA68E1">
        <w:rPr>
          <w:bCs w:val="0"/>
          <w:color w:val="000000"/>
          <w:shd w:val="clear" w:color="auto" w:fill="FFFFFF"/>
        </w:rPr>
        <w:t xml:space="preserve"> dubové lesy </w:t>
      </w:r>
      <w:r w:rsidRPr="00FA68E1">
        <w:rPr>
          <w:b w:val="0"/>
          <w:color w:val="000000"/>
        </w:rPr>
        <w:t>za splnenia nasledovných atribútov</w:t>
      </w:r>
      <w:r w:rsidRPr="00FA68E1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403"/>
        <w:gridCol w:w="1432"/>
        <w:gridCol w:w="4121"/>
      </w:tblGrid>
      <w:tr w:rsidR="00F019EC" w:rsidRPr="00FA68E1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F019EC" w:rsidRPr="00FA68E1" w:rsidTr="00EF3711">
        <w:trPr>
          <w:trHeight w:val="82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 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udržanie existujúcej výmery biotopu v ÚEV. </w:t>
            </w:r>
          </w:p>
        </w:tc>
      </w:tr>
      <w:tr w:rsidR="00F019EC" w:rsidRPr="00FA68E1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F019EC" w:rsidRPr="00FA68E1" w:rsidRDefault="00F019EC" w:rsidP="00EF3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A.tataricum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 10%,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laevis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19EC" w:rsidRPr="00FA68E1" w:rsidRDefault="00F019EC" w:rsidP="00EF3711">
            <w:pPr>
              <w:spacing w:line="27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a/alebo</w:t>
            </w:r>
            <w:r w:rsidRPr="00FA68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minimálne 30%)</w:t>
            </w:r>
          </w:p>
          <w:p w:rsidR="00F019EC" w:rsidRPr="00FA68E1" w:rsidRDefault="00F019EC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</w:p>
        </w:tc>
      </w:tr>
      <w:tr w:rsidR="00F019EC" w:rsidRPr="00FA68E1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michelii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Dictamnus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Feastuca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F.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pseudodalmatica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glaucum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Himantoglossum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adriaticum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Inula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Limodorum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abortivum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Lithospermum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purpurocaeruleum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melissophyllum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Ophrys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apifera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Orchis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Silene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epithymoides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019EC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 bylín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v biotope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Negundo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aceroides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pseudoacacia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bylín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I.parviflora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mantegazzianum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F019EC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najmenej 30 cm,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rovnomerne po celej ploche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Zabezpečenie prítomnosti odumretého dreva na ploche biotopu v danom objeme.</w:t>
            </w:r>
          </w:p>
        </w:tc>
      </w:tr>
    </w:tbl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Pi5 (6110*) Pionierske porasty na plytkých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karbonátových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 bázických substrátoch zväzu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>Alysso-Sedion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>albi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31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F019EC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F019EC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súčasnú výmeru biotopu</w:t>
            </w:r>
          </w:p>
        </w:tc>
      </w:tr>
      <w:tr w:rsidR="00F019EC" w:rsidRPr="00FA68E1" w:rsidTr="00EF3711">
        <w:trPr>
          <w:trHeight w:val="2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 7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Charakteristické/typické druhové zloženie: </w:t>
            </w:r>
          </w:p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tortuosum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Cerastium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pumilum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minima,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badensis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tridactylites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album,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sexangulare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Teucryum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chamaedris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Thlaspi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perfoliatum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Valerianella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dentata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praecox</w:t>
            </w:r>
            <w:proofErr w:type="spellEnd"/>
          </w:p>
        </w:tc>
      </w:tr>
      <w:tr w:rsidR="00F019EC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15%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Bylinná etáž zapojená približne na 30%, krovinová  a drevinová etáž zapojená max. na 15%.</w:t>
            </w:r>
          </w:p>
        </w:tc>
      </w:tr>
      <w:tr w:rsidR="00F019EC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zastúpenie drevín a krovín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  <w:sz w:val="20"/>
          <w:szCs w:val="20"/>
        </w:rPr>
      </w:pPr>
    </w:p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-bylinné a krovinové porasty na vápnitom substráte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F019EC" w:rsidRPr="00FA68E1" w:rsidTr="00EF3711">
        <w:trPr>
          <w:trHeight w:val="305"/>
        </w:trPr>
        <w:tc>
          <w:tcPr>
            <w:tcW w:w="1702" w:type="dxa"/>
            <w:shd w:val="clear" w:color="auto" w:fill="FFFFFF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FFFFFF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FFFFFF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FFFFFF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F019EC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1,33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Udržať výmeru biotopu.</w:t>
            </w:r>
          </w:p>
        </w:tc>
      </w:tr>
      <w:tr w:rsidR="00F019EC" w:rsidRPr="00FA68E1" w:rsidTr="00EF3711">
        <w:trPr>
          <w:trHeight w:val="2900"/>
        </w:trPr>
        <w:tc>
          <w:tcPr>
            <w:tcW w:w="1702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Briza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Bromus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erectus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falcata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heptaphylla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Sanguisorba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Securigera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varia,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F019EC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40 %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F019EC" w:rsidRPr="00FA68E1" w:rsidTr="00EF3711">
        <w:trPr>
          <w:trHeight w:val="850"/>
        </w:trPr>
        <w:tc>
          <w:tcPr>
            <w:tcW w:w="1702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5%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expanzívnych alebo inváznych druhov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Tr2 (6240*)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Subpanónske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travinnobylinné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porasty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276"/>
        <w:gridCol w:w="1417"/>
        <w:gridCol w:w="5196"/>
      </w:tblGrid>
      <w:tr w:rsidR="00F019EC" w:rsidRPr="00FA68E1" w:rsidTr="00EF3711">
        <w:trPr>
          <w:trHeight w:val="705"/>
        </w:trPr>
        <w:tc>
          <w:tcPr>
            <w:tcW w:w="1657" w:type="dxa"/>
            <w:shd w:val="clear" w:color="auto" w:fill="auto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96" w:type="dxa"/>
            <w:shd w:val="clear" w:color="auto" w:fill="auto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F019EC" w:rsidRPr="00FA68E1" w:rsidTr="00EF3711">
        <w:trPr>
          <w:trHeight w:val="290"/>
        </w:trPr>
        <w:tc>
          <w:tcPr>
            <w:tcW w:w="1657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2,43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F019EC" w:rsidRPr="00FA68E1" w:rsidTr="00EF3711">
        <w:trPr>
          <w:trHeight w:val="563"/>
        </w:trPr>
        <w:tc>
          <w:tcPr>
            <w:tcW w:w="1657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druhy:  </w:t>
            </w:r>
          </w:p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Adonis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vernalis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nobilis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Cleistogenes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serotina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Eryngium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valesiaca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Seseli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osseum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</w:tr>
      <w:tr w:rsidR="00F019EC" w:rsidRPr="00FA68E1" w:rsidTr="00EF3711">
        <w:trPr>
          <w:trHeight w:val="290"/>
        </w:trPr>
        <w:tc>
          <w:tcPr>
            <w:tcW w:w="1657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Dosiahnuté nízke zastúpenie drevín v biotope.</w:t>
            </w:r>
          </w:p>
        </w:tc>
      </w:tr>
      <w:tr w:rsidR="00F019EC" w:rsidRPr="00FA68E1" w:rsidTr="00EF3711">
        <w:trPr>
          <w:trHeight w:val="404"/>
        </w:trPr>
        <w:tc>
          <w:tcPr>
            <w:tcW w:w="1657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</w:rPr>
      </w:pPr>
    </w:p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Tr5 (6190)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Dealpínske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travinnobylinné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porasty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 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7"/>
      </w:tblGrid>
      <w:tr w:rsidR="00F019EC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F019EC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2.02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Udržať výmeru biotopu </w:t>
            </w:r>
          </w:p>
        </w:tc>
      </w:tr>
      <w:tr w:rsidR="00F019EC" w:rsidRPr="00FA68E1" w:rsidTr="00EF3711">
        <w:trPr>
          <w:trHeight w:val="14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počet druhov/16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najmenej 10 druhov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Charakteristické/typické druhové zloženie:  </w:t>
            </w:r>
          </w:p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sibirica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Stipa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pulcherrima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Verbascum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lychnitis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austriaca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019EC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30%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F019EC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  <w:sz w:val="20"/>
          <w:szCs w:val="20"/>
        </w:rPr>
      </w:pPr>
    </w:p>
    <w:p w:rsidR="00F019EC" w:rsidRPr="00FA68E1" w:rsidRDefault="00F019EC" w:rsidP="00F019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Sk1 (8210)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skalné steny a svahy so štrbinovou vegetáciou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F019EC" w:rsidRPr="00FA68E1" w:rsidTr="00EF3711">
        <w:trPr>
          <w:trHeight w:val="482"/>
        </w:trPr>
        <w:tc>
          <w:tcPr>
            <w:tcW w:w="1702" w:type="dxa"/>
            <w:shd w:val="clear" w:color="auto" w:fill="auto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auto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F019EC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biotopu. </w:t>
            </w:r>
          </w:p>
        </w:tc>
      </w:tr>
      <w:tr w:rsidR="00F019EC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 druh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Charakteristické/typické druhové zloženie:</w:t>
            </w:r>
          </w:p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ruta-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muraria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trichomanes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Campanula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carpatica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Cardaminopsis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arenosa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digitata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Galeobdolon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luteum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Mycelis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Phyllitis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scolopendrium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Polypodium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Primula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auricula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F019EC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výskyt drevín na skalných útvaroch.</w:t>
            </w:r>
          </w:p>
        </w:tc>
      </w:tr>
      <w:tr w:rsidR="00F019EC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F019EC" w:rsidRPr="00FA68E1" w:rsidRDefault="00F019EC" w:rsidP="00F019E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Sk8 (8310)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Nesprístupnené jaskynné útvary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F019EC" w:rsidRPr="00FA68E1" w:rsidTr="00EF3711">
        <w:trPr>
          <w:trHeight w:val="448"/>
        </w:trPr>
        <w:tc>
          <w:tcPr>
            <w:tcW w:w="1702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019EC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biotopu, bez poškodení vstupov do jaskynných priestorov. </w:t>
            </w:r>
          </w:p>
        </w:tc>
      </w:tr>
      <w:tr w:rsidR="00F019EC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Neprístupnosť biotopu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osôb/mesiac/</w:t>
            </w:r>
          </w:p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jaskynný útvar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Minimálna až žiadna návštevnosť lokalít (výlučne za účelom prieskumu).</w:t>
            </w:r>
          </w:p>
        </w:tc>
      </w:tr>
    </w:tbl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9EC" w:rsidRPr="00FA68E1" w:rsidRDefault="00F019EC" w:rsidP="00F019EC">
      <w:pPr>
        <w:pStyle w:val="Zkladntext"/>
        <w:widowControl w:val="0"/>
        <w:jc w:val="left"/>
      </w:pPr>
      <w:r w:rsidRPr="00FA68E1">
        <w:rPr>
          <w:b w:val="0"/>
        </w:rPr>
        <w:t xml:space="preserve">Zachovanie stavu druhu </w:t>
      </w:r>
      <w:proofErr w:type="spellStart"/>
      <w:r w:rsidRPr="00FA68E1">
        <w:rPr>
          <w:i/>
        </w:rPr>
        <w:t>Pulsatilla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grandis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7"/>
        <w:gridCol w:w="1483"/>
        <w:gridCol w:w="1320"/>
        <w:gridCol w:w="5335"/>
      </w:tblGrid>
      <w:tr w:rsidR="00F019EC" w:rsidRPr="00FA68E1" w:rsidTr="00EF3711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019EC" w:rsidRPr="00FA68E1" w:rsidTr="00EF3711">
        <w:trPr>
          <w:trHeight w:val="2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Zachovanie súčasnej populácie druhu, ktorá sa vyskytuje v intervale 50 až 150 jedincov. </w:t>
            </w:r>
          </w:p>
        </w:tc>
      </w:tr>
      <w:tr w:rsidR="00F019EC" w:rsidRPr="00FA68E1" w:rsidTr="00EF3711">
        <w:trPr>
          <w:trHeight w:val="28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0,97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F019EC" w:rsidRPr="00FA68E1" w:rsidTr="00EF3711">
        <w:trPr>
          <w:trHeight w:val="93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Anthyllis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vulneraria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Genista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tinctoria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Hippocrepis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comosa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Hypericum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perforatum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hirta</w:t>
            </w:r>
            <w:proofErr w:type="spellEnd"/>
          </w:p>
        </w:tc>
      </w:tr>
      <w:tr w:rsidR="00F019EC" w:rsidRPr="00FA68E1" w:rsidTr="00EF3711">
        <w:trPr>
          <w:trHeight w:val="2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F019EC" w:rsidRPr="00FA68E1" w:rsidTr="00EF3711">
        <w:trPr>
          <w:trHeight w:val="2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 (%) pokrytia / ha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0 %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Minimálne (žiadne) zastúpenie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</w:rPr>
      </w:pPr>
    </w:p>
    <w:p w:rsidR="00F019EC" w:rsidRPr="00FA68E1" w:rsidRDefault="00F019EC" w:rsidP="00F019EC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Zachovanie stavu druhu </w:t>
      </w:r>
      <w:proofErr w:type="spellStart"/>
      <w:r w:rsidRPr="00FA68E1">
        <w:rPr>
          <w:i/>
        </w:rPr>
        <w:t>Stenobothrus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eurasius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937"/>
        <w:gridCol w:w="1485"/>
        <w:gridCol w:w="3895"/>
      </w:tblGrid>
      <w:tr w:rsidR="00F019EC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019EC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imágo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1000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sa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odhoduje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počet na  1000 až 5000 jedincov, cieľom je stabilná populácia druhu v území</w:t>
            </w:r>
          </w:p>
        </w:tc>
      </w:tr>
      <w:tr w:rsidR="00F019EC" w:rsidRPr="00FA68E1" w:rsidTr="00EF3711">
        <w:trPr>
          <w:trHeight w:val="62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 ha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udržanie výmery biotopu druhu na 4 ha</w:t>
            </w:r>
          </w:p>
        </w:tc>
      </w:tr>
      <w:tr w:rsidR="00F019EC" w:rsidRPr="00FA68E1" w:rsidTr="00EF3711">
        <w:trPr>
          <w:trHeight w:val="93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druhu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intenzívne obhospodarovaných lesostepí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10 % biotopu druhu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Zachovalá štruktúra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xerotermných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lesostepí, ich okrajov, príp. s extenzívnym obhospodarovaním pastvou alebo kosením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</w:rPr>
      </w:pPr>
    </w:p>
    <w:p w:rsidR="00F019EC" w:rsidRPr="00FA68E1" w:rsidRDefault="00F019EC" w:rsidP="00F019EC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Isophya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stysi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751"/>
        <w:gridCol w:w="1672"/>
        <w:gridCol w:w="3895"/>
      </w:tblGrid>
      <w:tr w:rsidR="00F019EC" w:rsidRPr="00FA68E1" w:rsidTr="00EF3711">
        <w:trPr>
          <w:trHeight w:val="31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019EC" w:rsidRPr="00FA68E1" w:rsidTr="00EF3711">
        <w:trPr>
          <w:trHeight w:val="31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imágo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2000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na 0 až 5000 jedincov </w:t>
            </w:r>
          </w:p>
        </w:tc>
      </w:tr>
      <w:tr w:rsidR="00F019EC" w:rsidRPr="00FA68E1" w:rsidTr="00EF3711">
        <w:trPr>
          <w:trHeight w:val="62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 ha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udržanie výmery biotopu druhu na 4 ha</w:t>
            </w:r>
          </w:p>
        </w:tc>
      </w:tr>
      <w:tr w:rsidR="00F019EC" w:rsidRPr="00FA68E1" w:rsidTr="00EF3711">
        <w:trPr>
          <w:trHeight w:val="93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 druhu zabezpečená prítomnosťou zachovalých kosných lúk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obhospodarovaných lúk kosením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50 % biotopu druhu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Zachovalá štruktúra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xerotermných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lesostepí, ich okrajov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</w:rPr>
      </w:pPr>
    </w:p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euryale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476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1543"/>
        <w:gridCol w:w="1559"/>
        <w:gridCol w:w="4537"/>
      </w:tblGrid>
      <w:tr w:rsidR="00F019EC" w:rsidRPr="00FA68E1" w:rsidTr="00EF3711">
        <w:trPr>
          <w:trHeight w:val="8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019EC" w:rsidRPr="00FA68E1" w:rsidTr="00EF3711">
        <w:trPr>
          <w:trHeight w:val="8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evidovaný výskyt 10 až 100 jedincov, je potrebný monitoring stavu populácie druhu.</w:t>
            </w:r>
          </w:p>
        </w:tc>
      </w:tr>
      <w:tr w:rsidR="00F019EC" w:rsidRPr="00FA68E1" w:rsidTr="00EF3711">
        <w:trPr>
          <w:trHeight w:val="93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reprodukčného/ potravného biotopu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 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Lesné biotopy v celom území – poskytujú potravné biotopy pre uvedený druh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</w:rPr>
      </w:pPr>
    </w:p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ferrumequinum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F019EC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019EC" w:rsidRPr="00FA68E1" w:rsidTr="00EF3711"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evidovaný výskyt (zaznamenanie 0 až 20 jedincov v rámci celého ÚEV na zimoviskách)</w:t>
            </w:r>
          </w:p>
        </w:tc>
      </w:tr>
      <w:tr w:rsidR="00F019EC" w:rsidRPr="00FA68E1" w:rsidTr="00EF371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4 známy výskyt zimoviska uvedeného druhu.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</w:rPr>
      </w:pPr>
    </w:p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hipposideros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F019EC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019EC" w:rsidRPr="00FA68E1" w:rsidTr="00EF371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evidovaný výskyt (zaznamenanie 20 až 50 jedincov v rámci celého ÚEV na zimoviskách).</w:t>
            </w:r>
          </w:p>
        </w:tc>
      </w:tr>
      <w:tr w:rsidR="00F019EC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4 známe zimoviská uvedeného druhu v danom ÚEV.</w:t>
            </w:r>
          </w:p>
        </w:tc>
      </w:tr>
      <w:tr w:rsidR="00F019EC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a príležitostné úkrytové biotopy.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</w:rPr>
      </w:pPr>
    </w:p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bechsteini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2"/>
        <w:gridCol w:w="1279"/>
        <w:gridCol w:w="2327"/>
        <w:gridCol w:w="4457"/>
      </w:tblGrid>
      <w:tr w:rsidR="00F019EC" w:rsidRPr="00FA68E1" w:rsidTr="00EF3711">
        <w:trPr>
          <w:trHeight w:val="3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019EC" w:rsidRPr="00FA68E1" w:rsidTr="00EF3711">
        <w:trPr>
          <w:trHeight w:val="27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0 až 5 jedincov v rámci celého ÚEV na zimoviskách).</w:t>
            </w:r>
          </w:p>
        </w:tc>
      </w:tr>
      <w:tr w:rsidR="00F019EC" w:rsidRPr="00FA68E1" w:rsidTr="00EF3711">
        <w:trPr>
          <w:trHeight w:val="9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 súčasnosti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neevidujemežiadne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zimovisko uvedeného druhu v danom ÚEV.</w:t>
            </w:r>
          </w:p>
        </w:tc>
      </w:tr>
      <w:tr w:rsidR="00F019EC" w:rsidRPr="00FA68E1" w:rsidTr="00EF3711">
        <w:trPr>
          <w:trHeight w:val="9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potravného biotopu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Min.40 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Lesné biotopy v území – poskytujú lokality na rozmnožovanie, potravné biotopy a úkrytové biotopy. Potreba zachovania starých na bútľavé a 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dutinaté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stromy bohatých porastov. 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</w:rPr>
      </w:pPr>
    </w:p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F019EC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019EC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evidovaný výskyt (zaznamenanie 0 až 10 jedincov v rámci celého ÚEV na zimoviskách)</w:t>
            </w:r>
          </w:p>
        </w:tc>
      </w:tr>
      <w:tr w:rsidR="00F019EC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 známe zimoviská uvedeného druhu.</w:t>
            </w:r>
          </w:p>
        </w:tc>
      </w:tr>
      <w:tr w:rsidR="00F019EC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pre daný druh.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</w:rPr>
      </w:pPr>
    </w:p>
    <w:p w:rsidR="00F019EC" w:rsidRPr="00FA68E1" w:rsidRDefault="00F019EC" w:rsidP="00F019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Barbastella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F019EC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019EC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Odhaduje sa početnosť 10 až 30 jedincov v rámci celého ÚEV </w:t>
            </w:r>
          </w:p>
        </w:tc>
      </w:tr>
      <w:tr w:rsidR="00F019EC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 známe zimoviská uvedeného druhu.</w:t>
            </w:r>
          </w:p>
        </w:tc>
      </w:tr>
      <w:tr w:rsidR="00F019EC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EC" w:rsidRPr="00FA68E1" w:rsidRDefault="00F019E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 Potreba zachovania starých na bútľavé a 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dutinaté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stromy bohatých porastov.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</w:rPr>
      </w:pPr>
    </w:p>
    <w:p w:rsidR="00F019EC" w:rsidRPr="00FA68E1" w:rsidRDefault="00F019EC" w:rsidP="00F019EC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Lynx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lynx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F019EC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019EC" w:rsidRPr="00FA68E1" w:rsidTr="00EF3711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19EC" w:rsidRPr="00FA68E1" w:rsidRDefault="00F019EC" w:rsidP="00EF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Minimálny počet 2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Odhadnutý počet jedincov v súčasnosti do 2, potrebné zvýšenie početnosti populácie.</w:t>
            </w:r>
          </w:p>
        </w:tc>
      </w:tr>
      <w:tr w:rsidR="00F019EC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40 ha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teritória 1 exemplára je väčšia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ako celá výmera UEV. Zabezpečiť rozšírenie územia.</w:t>
            </w:r>
          </w:p>
        </w:tc>
      </w:tr>
      <w:tr w:rsidR="00F019EC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Podiel zastavaného územia (%) a turistickej infraštruktúry (m)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Maximálny podiel zastaveného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úzenia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0% a maximálne 800 metrov turistických a náučných chodníkov</w:t>
            </w:r>
          </w:p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V biotopoch v súčasnosti ponechaných na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samovývoj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vylúčiť budovanie stavieb a rozširovať turistickú infraštruktúru. </w:t>
            </w:r>
          </w:p>
        </w:tc>
      </w:tr>
      <w:tr w:rsidR="00F019EC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Zachované migračné koridory v území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9EC" w:rsidRPr="00FA68E1" w:rsidRDefault="00F019E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Umožnené prepojenie populácií s UEV Horný vrch</w:t>
            </w:r>
          </w:p>
        </w:tc>
      </w:tr>
    </w:tbl>
    <w:p w:rsidR="00F019EC" w:rsidRPr="00FA68E1" w:rsidRDefault="00F019EC" w:rsidP="00F019EC">
      <w:pPr>
        <w:rPr>
          <w:rFonts w:ascii="Times New Roman" w:hAnsi="Times New Roman" w:cs="Times New Roman"/>
        </w:rPr>
      </w:pPr>
    </w:p>
    <w:p w:rsidR="00F019EC" w:rsidRPr="00FA68E1" w:rsidRDefault="00F019EC" w:rsidP="00F019EC">
      <w:pPr>
        <w:rPr>
          <w:rFonts w:ascii="Times New Roman" w:hAnsi="Times New Roman" w:cs="Times New Roman"/>
          <w:sz w:val="24"/>
          <w:szCs w:val="24"/>
        </w:rPr>
      </w:pPr>
      <w:r w:rsidRPr="00FA68E1">
        <w:rPr>
          <w:rFonts w:ascii="Times New Roman" w:hAnsi="Times New Roman" w:cs="Times New Roman"/>
          <w:sz w:val="24"/>
          <w:szCs w:val="24"/>
        </w:rPr>
        <w:br w:type="page"/>
      </w:r>
    </w:p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C"/>
    <w:rsid w:val="004F7434"/>
    <w:rsid w:val="00F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B3B9"/>
  <w15:chartTrackingRefBased/>
  <w15:docId w15:val="{9845533E-92A2-44A7-9262-1EF5B805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9EC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0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0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0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0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F019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F019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ezriadkovania">
    <w:name w:val="No Spacing"/>
    <w:uiPriority w:val="1"/>
    <w:qFormat/>
    <w:rsid w:val="00F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2023-01-10T13:55:00Z</dcterms:created>
  <dcterms:modified xsi:type="dcterms:W3CDTF">2023-01-10T13:55:00Z</dcterms:modified>
</cp:coreProperties>
</file>