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AD" w:rsidRPr="00C05CAD" w:rsidRDefault="00C05CAD" w:rsidP="00C05CAD">
      <w:pPr>
        <w:spacing w:before="1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C05CAD">
        <w:rPr>
          <w:rFonts w:ascii="Times New Roman" w:hAnsi="Times New Roman" w:cs="Times New Roman"/>
          <w:b/>
          <w:sz w:val="28"/>
          <w:szCs w:val="28"/>
        </w:rPr>
        <w:t>C</w:t>
      </w:r>
      <w:r w:rsidRPr="00C05CAD">
        <w:rPr>
          <w:rFonts w:ascii="Times New Roman" w:hAnsi="Times New Roman" w:cs="Times New Roman"/>
          <w:b/>
          <w:sz w:val="28"/>
          <w:szCs w:val="28"/>
        </w:rPr>
        <w:t xml:space="preserve">iele ochrany </w:t>
      </w:r>
      <w:r w:rsidRPr="00C0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SKUEV0347 Domické </w:t>
      </w:r>
      <w:proofErr w:type="spellStart"/>
      <w:r w:rsidRPr="00C0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škrapy</w:t>
      </w:r>
      <w:proofErr w:type="spellEnd"/>
    </w:p>
    <w:bookmarkEnd w:id="0"/>
    <w:p w:rsidR="00C05CAD" w:rsidRPr="00FA68E1" w:rsidRDefault="00C05CAD" w:rsidP="00C05CAD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C05CAD" w:rsidRPr="00FA68E1" w:rsidRDefault="00C05CAD" w:rsidP="00C05CAD">
      <w:pPr>
        <w:pStyle w:val="Zkladntext"/>
        <w:widowControl w:val="0"/>
        <w:jc w:val="left"/>
        <w:rPr>
          <w:b w:val="0"/>
          <w:color w:val="000000"/>
          <w:shd w:val="clear" w:color="auto" w:fill="FFFFFF"/>
        </w:rPr>
      </w:pPr>
      <w:r w:rsidRPr="00FA68E1">
        <w:rPr>
          <w:b w:val="0"/>
          <w:color w:val="000000"/>
        </w:rPr>
        <w:t>Zlepšenie stavu biotopu</w:t>
      </w:r>
      <w:r w:rsidRPr="00FA68E1">
        <w:rPr>
          <w:color w:val="000000"/>
        </w:rPr>
        <w:t xml:space="preserve"> Ls3.1 </w:t>
      </w:r>
      <w:r w:rsidRPr="00FA68E1">
        <w:rPr>
          <w:bCs w:val="0"/>
          <w:color w:val="000000"/>
          <w:shd w:val="clear" w:color="auto" w:fill="FFFFFF"/>
        </w:rPr>
        <w:t>(</w:t>
      </w:r>
      <w:r w:rsidRPr="00FA68E1">
        <w:rPr>
          <w:color w:val="000000"/>
          <w:lang w:eastAsia="sk-SK"/>
        </w:rPr>
        <w:t>91H0*</w:t>
      </w:r>
      <w:r w:rsidRPr="00FA68E1">
        <w:rPr>
          <w:bCs w:val="0"/>
          <w:color w:val="000000"/>
          <w:shd w:val="clear" w:color="auto" w:fill="FFFFFF"/>
        </w:rPr>
        <w:t xml:space="preserve">) Teplomilné </w:t>
      </w:r>
      <w:proofErr w:type="spellStart"/>
      <w:r w:rsidRPr="00FA68E1">
        <w:rPr>
          <w:bCs w:val="0"/>
          <w:color w:val="000000"/>
          <w:shd w:val="clear" w:color="auto" w:fill="FFFFFF"/>
        </w:rPr>
        <w:t>submediteránne</w:t>
      </w:r>
      <w:proofErr w:type="spellEnd"/>
      <w:r w:rsidRPr="00FA68E1">
        <w:rPr>
          <w:bCs w:val="0"/>
          <w:color w:val="000000"/>
          <w:shd w:val="clear" w:color="auto" w:fill="FFFFFF"/>
        </w:rPr>
        <w:t xml:space="preserve"> dubové lesy </w:t>
      </w:r>
      <w:r w:rsidRPr="00FA68E1">
        <w:rPr>
          <w:b w:val="0"/>
          <w:color w:val="000000"/>
        </w:rPr>
        <w:t>za splnenia nasledovných atribútov</w:t>
      </w:r>
      <w:r w:rsidRPr="00FA68E1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403"/>
        <w:gridCol w:w="1432"/>
        <w:gridCol w:w="4121"/>
      </w:tblGrid>
      <w:tr w:rsidR="00C05CAD" w:rsidRPr="00FA68E1" w:rsidTr="00EF3711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CAD" w:rsidRPr="00FA68E1" w:rsidRDefault="00C05CAD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CAD" w:rsidRPr="00FA68E1" w:rsidRDefault="00C05CAD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CAD" w:rsidRPr="00FA68E1" w:rsidRDefault="00C05CAD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CAD" w:rsidRPr="00FA68E1" w:rsidRDefault="00C05CAD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C05CAD" w:rsidRPr="00FA68E1" w:rsidTr="00EF3711">
        <w:trPr>
          <w:trHeight w:val="825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CAD" w:rsidRPr="00FA68E1" w:rsidRDefault="00C05CAD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Výmera biotopu 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CAD" w:rsidRPr="00FA68E1" w:rsidRDefault="00C05CAD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CAD" w:rsidRPr="00FA68E1" w:rsidRDefault="00C05CAD" w:rsidP="00EF37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76,22 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CAD" w:rsidRPr="00FA68E1" w:rsidRDefault="00C05CAD" w:rsidP="00EF371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udržanie existujúcej výmery biotopu v ÚEV. </w:t>
            </w:r>
          </w:p>
        </w:tc>
      </w:tr>
      <w:tr w:rsidR="00C05CAD" w:rsidRPr="00FA68E1" w:rsidTr="00EF3711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80 %</w:t>
            </w:r>
          </w:p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C05CAD" w:rsidRPr="00FA68E1" w:rsidRDefault="00C05CAD" w:rsidP="00EF37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Acer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A.platanoides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A.tataricum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C.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mahaleb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Cornus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Fagus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 10%,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ornus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&lt;10%,</w:t>
            </w:r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Quercus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cerris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Q.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Q.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robur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cordata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T.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laevis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Viburnum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lantana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5CAD" w:rsidRPr="00FA68E1" w:rsidRDefault="00C05CAD" w:rsidP="00EF3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CAD" w:rsidRPr="00FA68E1" w:rsidRDefault="00C05CAD" w:rsidP="00EF3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Quercus</w:t>
            </w:r>
            <w:proofErr w:type="spellEnd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a/alebo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Quercus</w:t>
            </w:r>
            <w:proofErr w:type="spellEnd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petraea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minimálne 30%)</w:t>
            </w:r>
          </w:p>
          <w:p w:rsidR="00C05CAD" w:rsidRPr="00FA68E1" w:rsidRDefault="00C05CAD" w:rsidP="00EF3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</w:rPr>
              <w:t>Pozn.: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Hrubším typom písma sú vyznačené dominantné druhy biotopu</w:t>
            </w:r>
          </w:p>
        </w:tc>
      </w:tr>
      <w:tr w:rsidR="00C05CAD" w:rsidRPr="00FA68E1" w:rsidTr="00EF3711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Zastúpenie charakteristických druhov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synúzie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podrastu (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bylín, krov,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machorastov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lišajníkov)</w:t>
            </w:r>
          </w:p>
        </w:tc>
        <w:tc>
          <w:tcPr>
            <w:tcW w:w="1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CAD" w:rsidRPr="00FA68E1" w:rsidRDefault="00C05CAD" w:rsidP="00EF3711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CAD" w:rsidRPr="00FA68E1" w:rsidRDefault="00C05CAD" w:rsidP="00EF3711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Brachypodium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pinnatum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humilis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michelii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Clematis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Dictamnus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Feastuca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pallens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, F. 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pseudodalmatica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glaucum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sanguineum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Himantoglossum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adriaticum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Inula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Limodorum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abortivum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Lithospermum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purpurocaeruleum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uniflora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Melitis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melissophyllum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Ophrys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apifera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Orchis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purpurea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albicans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Silene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nemoralis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epithymoides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C05CAD" w:rsidRPr="00FA68E1" w:rsidTr="00EF371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druhov/inváznych druhov drevín a bylín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 pokrytia / 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Menej ako 1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Minimálne 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drevín v biotope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Negundo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aceroides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Robinia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pseudoacacia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bylín (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Fallopia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Impatiens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glandulifera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I.parviflora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Heracleum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mantegazzianum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C05CAD" w:rsidRPr="00FA68E1" w:rsidTr="00EF371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Mŕtve drevo </w:t>
            </w:r>
          </w:p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(stojace, ležiace kmene stromov hlavnej úrovne s limitnou hrúbkou d1,3 najmenej 30 cm, pre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1.1 d1,3 najmenej 50 cm)</w:t>
            </w:r>
          </w:p>
        </w:tc>
        <w:tc>
          <w:tcPr>
            <w:tcW w:w="14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/ha</w:t>
            </w:r>
          </w:p>
        </w:tc>
        <w:tc>
          <w:tcPr>
            <w:tcW w:w="14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Najmenej 20</w:t>
            </w:r>
          </w:p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rovnomerne po celej ploche</w:t>
            </w: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prítomnosti odumretého dreva na ploche biotopu v danom objeme.</w:t>
            </w:r>
          </w:p>
        </w:tc>
      </w:tr>
    </w:tbl>
    <w:p w:rsidR="00C05CAD" w:rsidRPr="00FA68E1" w:rsidRDefault="00C05CAD" w:rsidP="00C05C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AD" w:rsidRPr="00FA68E1" w:rsidRDefault="00C05CAD" w:rsidP="00C05C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>Zlepšenie stavu biotopu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6510 (Lk1) Nížinné a podhorské kosné lúky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134"/>
        <w:gridCol w:w="5387"/>
      </w:tblGrid>
      <w:tr w:rsidR="00C05CAD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Merateľný indikátor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Poznámky/Doplňujúce informácie</w:t>
            </w:r>
          </w:p>
        </w:tc>
      </w:tr>
      <w:tr w:rsidR="00C05CAD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1,99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C05CAD" w:rsidRPr="00FA68E1" w:rsidTr="00EF3711">
        <w:trPr>
          <w:trHeight w:val="69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 m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13 druhov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</w:p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Agrimonia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eupatoria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Achillea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millefolium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Arrhenatherum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elatius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Avenula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pubescens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Convolvulus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Dactylis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glomerata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rubra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viridis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Knautia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Leontodon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hispidus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Leucanthemum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vulgare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Lotus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corniculatus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Pimpinella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lanceolata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Ranunculus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polyanthemos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Rumex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acetosa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Taraxacum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sect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Ruderalia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Tragopogon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orientalis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repens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Trisetum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flavescens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</w:p>
        </w:tc>
      </w:tr>
      <w:tr w:rsidR="00C05CAD" w:rsidRPr="00FA68E1" w:rsidTr="00EF3711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 krovín.</w:t>
            </w:r>
          </w:p>
        </w:tc>
      </w:tr>
      <w:tr w:rsidR="00C05CAD" w:rsidRPr="00FA68E1" w:rsidTr="00EF3711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pokrytia/16 m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15%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sukcesných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Calamagrostis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epigejos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canadensis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gigantea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Stenactis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annua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</w:tbl>
    <w:p w:rsidR="00C05CAD" w:rsidRPr="00FA68E1" w:rsidRDefault="00C05CAD" w:rsidP="00C05C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AD" w:rsidRPr="00FA68E1" w:rsidRDefault="00C05CAD" w:rsidP="00C05C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Pi5 (6110*) Pionierske porasty na plytkých </w:t>
      </w:r>
      <w:proofErr w:type="spellStart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karbonátových</w:t>
      </w:r>
      <w:proofErr w:type="spellEnd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 bázických substrátoch zväzu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</w:rPr>
        <w:t>Alysso-Sedion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</w:rPr>
        <w:t>albi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5319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134"/>
        <w:gridCol w:w="5387"/>
      </w:tblGrid>
      <w:tr w:rsidR="00C05CAD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Merateľný indikátor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Poznámky/Doplňujúce informácie</w:t>
            </w:r>
          </w:p>
        </w:tc>
      </w:tr>
      <w:tr w:rsidR="00C05CAD" w:rsidRPr="00FA68E1" w:rsidTr="00EF3711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0,01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C05CAD" w:rsidRPr="00FA68E1" w:rsidTr="00EF3711">
        <w:trPr>
          <w:trHeight w:val="247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počet druhov/16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najmenej 7 druhov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Charakteristické/typické druhové zloženie: </w:t>
            </w:r>
          </w:p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Acinos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flavum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alyssoides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Alyssum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tortuosum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serpyllifolia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Cerastium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pumilum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Jovibarba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globifera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Lactuca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perennis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Medicago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minima,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badensis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</w:t>
            </w:r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Pseudolysimachion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spicatum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tridactylites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Sedum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acre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Sedum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album,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Sedum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sexangulare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Teucryum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chamaedris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Thlaspi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perfoliatum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Valerianella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dentata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praecox</w:t>
            </w:r>
            <w:proofErr w:type="spellEnd"/>
          </w:p>
        </w:tc>
      </w:tr>
      <w:tr w:rsidR="00C05CAD" w:rsidRPr="00FA68E1" w:rsidTr="00EF3711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menej ako 15%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Bylinná etáž zapojená približne na 15%, krovinová  a drevinová etáž zapojená max. na 15%.</w:t>
            </w:r>
          </w:p>
        </w:tc>
      </w:tr>
      <w:tr w:rsidR="00C05CAD" w:rsidRPr="00FA68E1" w:rsidTr="00EF3711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</w:p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 pokrytia/16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menej ako 1%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Eliminovať zastúpenie drevín a krovín</w:t>
            </w:r>
          </w:p>
        </w:tc>
      </w:tr>
    </w:tbl>
    <w:p w:rsidR="00C05CAD" w:rsidRPr="00FA68E1" w:rsidRDefault="00C05CAD" w:rsidP="00C05C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AD" w:rsidRPr="00FA68E1" w:rsidRDefault="00C05CAD" w:rsidP="00C05C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Tr1 (6210) </w:t>
      </w:r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Suchomilné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travinno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-bylinné a krovinové porasty na vápnitom substráte 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5245"/>
      </w:tblGrid>
      <w:tr w:rsidR="00C05CAD" w:rsidRPr="00FA68E1" w:rsidTr="00EF3711">
        <w:trPr>
          <w:trHeight w:val="305"/>
        </w:trPr>
        <w:tc>
          <w:tcPr>
            <w:tcW w:w="1702" w:type="dxa"/>
            <w:shd w:val="clear" w:color="auto" w:fill="FFFFFF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shd w:val="clear" w:color="auto" w:fill="FFFFFF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shd w:val="clear" w:color="auto" w:fill="FFFFFF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shd w:val="clear" w:color="auto" w:fill="FFFFFF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Poznámky/Doplňujúce informácie</w:t>
            </w:r>
          </w:p>
        </w:tc>
      </w:tr>
      <w:tr w:rsidR="00C05CAD" w:rsidRPr="00FA68E1" w:rsidTr="00EF3711">
        <w:trPr>
          <w:trHeight w:val="290"/>
        </w:trPr>
        <w:tc>
          <w:tcPr>
            <w:tcW w:w="1702" w:type="dxa"/>
            <w:shd w:val="clear" w:color="auto" w:fill="FFFFFF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4,74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C05CAD" w:rsidRPr="00FA68E1" w:rsidTr="00EF3711">
        <w:trPr>
          <w:trHeight w:val="2900"/>
        </w:trPr>
        <w:tc>
          <w:tcPr>
            <w:tcW w:w="1702" w:type="dxa"/>
            <w:shd w:val="clear" w:color="auto" w:fill="FFFFFF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15 druhov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Agrimonia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eupatoria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Achillea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millefolium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Arrhenatherum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elatius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Brachypodium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pinnatum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Briza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Bromus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erectus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Filipendula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viridis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Knautia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Leontodon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hispidus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Lotus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corniculatus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Medicago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falcata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Pimpinella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lanceolata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heptaphylla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Ranunculus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polyanthemos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Sanguisorba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minor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Securigera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varia,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Thymus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pannonicus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Trifolium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repens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hirta</w:t>
            </w:r>
            <w:proofErr w:type="spellEnd"/>
          </w:p>
        </w:tc>
      </w:tr>
      <w:tr w:rsidR="00C05CAD" w:rsidRPr="00FA68E1" w:rsidTr="00EF3711">
        <w:trPr>
          <w:trHeight w:val="290"/>
        </w:trPr>
        <w:tc>
          <w:tcPr>
            <w:tcW w:w="1702" w:type="dxa"/>
            <w:shd w:val="clear" w:color="auto" w:fill="FFFFFF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40 %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Dosiahnuté nízke zastúpenie drevín v biotope.</w:t>
            </w:r>
          </w:p>
        </w:tc>
      </w:tr>
      <w:tr w:rsidR="00C05CAD" w:rsidRPr="00FA68E1" w:rsidTr="00EF3711">
        <w:trPr>
          <w:trHeight w:val="850"/>
        </w:trPr>
        <w:tc>
          <w:tcPr>
            <w:tcW w:w="1702" w:type="dxa"/>
            <w:shd w:val="clear" w:color="auto" w:fill="FFFFFF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</w:p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pokrytia/16 m2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5%</w:t>
            </w:r>
          </w:p>
        </w:tc>
        <w:tc>
          <w:tcPr>
            <w:tcW w:w="5245" w:type="dxa"/>
            <w:shd w:val="clear" w:color="auto" w:fill="FFFFFF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expanzívnych alebo inváznych druhov</w:t>
            </w:r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Calamagrostis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epigejos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canadensis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Solidago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gigantea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</w:tbl>
    <w:p w:rsidR="00C05CAD" w:rsidRPr="00FA68E1" w:rsidRDefault="00C05CAD" w:rsidP="00C05CAD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05CAD" w:rsidRPr="00FA68E1" w:rsidRDefault="00C05CAD" w:rsidP="00C05C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Tr2 (6240*)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Subpanónske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travinnobylinné</w:t>
      </w:r>
      <w:proofErr w:type="spellEnd"/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porasty 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5267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1559"/>
        <w:gridCol w:w="992"/>
        <w:gridCol w:w="5196"/>
      </w:tblGrid>
      <w:tr w:rsidR="00C05CAD" w:rsidRPr="00FA68E1" w:rsidTr="00EF3711">
        <w:trPr>
          <w:trHeight w:val="705"/>
        </w:trPr>
        <w:tc>
          <w:tcPr>
            <w:tcW w:w="1799" w:type="dxa"/>
            <w:shd w:val="clear" w:color="auto" w:fill="auto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559" w:type="dxa"/>
            <w:shd w:val="clear" w:color="auto" w:fill="auto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Merateľný indikátor</w:t>
            </w:r>
          </w:p>
        </w:tc>
        <w:tc>
          <w:tcPr>
            <w:tcW w:w="992" w:type="dxa"/>
            <w:shd w:val="clear" w:color="auto" w:fill="auto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5196" w:type="dxa"/>
            <w:shd w:val="clear" w:color="auto" w:fill="auto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Poznámky/Doplňujúce informácie</w:t>
            </w:r>
          </w:p>
        </w:tc>
      </w:tr>
      <w:tr w:rsidR="00C05CAD" w:rsidRPr="00FA68E1" w:rsidTr="00EF3711">
        <w:trPr>
          <w:trHeight w:val="290"/>
        </w:trPr>
        <w:tc>
          <w:tcPr>
            <w:tcW w:w="1799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5,4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C05CAD" w:rsidRPr="00FA68E1" w:rsidTr="00EF3711">
        <w:trPr>
          <w:trHeight w:val="563"/>
        </w:trPr>
        <w:tc>
          <w:tcPr>
            <w:tcW w:w="1799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 druhov 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druhy:  </w:t>
            </w:r>
          </w:p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Adonis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vernalis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Achillea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nobilis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flavum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Alyssum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Bothriochloa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ischaemum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humilis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Cleistogenes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serotina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Eryngium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valesiaca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Fragaria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viridis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Koeleria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macrantha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ciliata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Seseli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osseum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Thymus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pannonicus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prostrata</w:t>
            </w:r>
            <w:proofErr w:type="spellEnd"/>
          </w:p>
        </w:tc>
      </w:tr>
      <w:tr w:rsidR="00C05CAD" w:rsidRPr="00FA68E1" w:rsidTr="00EF3711">
        <w:trPr>
          <w:trHeight w:val="290"/>
        </w:trPr>
        <w:tc>
          <w:tcPr>
            <w:tcW w:w="1799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Dosiahnuté nízke zastúpenie drevín v biotope.</w:t>
            </w:r>
          </w:p>
        </w:tc>
      </w:tr>
      <w:tr w:rsidR="00C05CAD" w:rsidRPr="00FA68E1" w:rsidTr="00EF3711">
        <w:trPr>
          <w:trHeight w:val="404"/>
        </w:trPr>
        <w:tc>
          <w:tcPr>
            <w:tcW w:w="1799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</w:t>
            </w:r>
          </w:p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inváznych/invázne sa správajúcich druhov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pokrytia/16 m2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menej ako 1 %</w:t>
            </w:r>
          </w:p>
        </w:tc>
        <w:tc>
          <w:tcPr>
            <w:tcW w:w="5196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C05CAD" w:rsidRPr="00FA68E1" w:rsidRDefault="00C05CAD" w:rsidP="00C05CAD">
      <w:pPr>
        <w:rPr>
          <w:rFonts w:ascii="Times New Roman" w:hAnsi="Times New Roman" w:cs="Times New Roman"/>
        </w:rPr>
      </w:pPr>
    </w:p>
    <w:p w:rsidR="00C05CAD" w:rsidRPr="00FA68E1" w:rsidRDefault="00C05CAD" w:rsidP="00C05C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Tr5 (6190) </w:t>
      </w:r>
      <w:proofErr w:type="spellStart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Dealpínske</w:t>
      </w:r>
      <w:proofErr w:type="spellEnd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travinnobylinné</w:t>
      </w:r>
      <w:proofErr w:type="spellEnd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porasty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 </w:t>
      </w:r>
    </w:p>
    <w:tbl>
      <w:tblPr>
        <w:tblW w:w="5320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5"/>
        <w:gridCol w:w="1251"/>
        <w:gridCol w:w="1418"/>
        <w:gridCol w:w="4198"/>
      </w:tblGrid>
      <w:tr w:rsidR="00C05CAD" w:rsidRPr="00FA68E1" w:rsidTr="00EF3711">
        <w:trPr>
          <w:trHeight w:val="29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Merateľný indikátor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Poznámky/Doplňujúce informácie</w:t>
            </w:r>
          </w:p>
        </w:tc>
      </w:tr>
      <w:tr w:rsidR="00C05CAD" w:rsidRPr="00FA68E1" w:rsidTr="00EF3711">
        <w:trPr>
          <w:trHeight w:val="29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Výmera biotopu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C05CAD" w:rsidRPr="00FA68E1" w:rsidTr="00EF3711">
        <w:trPr>
          <w:trHeight w:val="1408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Zastúpenie charakteristických druhov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počet druhov/16 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najmenej 10 druhov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Charakteristické/typické druhové zloženie:  </w:t>
            </w:r>
          </w:p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Acinos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Allium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flavum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Anthericum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ramosum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serpyllifolia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Bothriochloa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ischaemum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sibirica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Campanula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xylocarpa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humilis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Erysimum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pallens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Helianthemum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nummularium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Jovibarba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globifera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Koeleria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macrantha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perennis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ciliata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Pseudolysimachion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spicatum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albicans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heufleriana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Stipa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pulcherrima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Verbascum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lychnitis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Veronica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austriaca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05CAD" w:rsidRPr="00FA68E1" w:rsidTr="00EF3711">
        <w:trPr>
          <w:trHeight w:val="2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Vertikálna štruktúra biotopu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menej ako 30%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Dosiahnuté nízke zastúpenie drevín v biotope.</w:t>
            </w:r>
          </w:p>
        </w:tc>
      </w:tr>
      <w:tr w:rsidR="00C05CAD" w:rsidRPr="00FA68E1" w:rsidTr="00EF3711">
        <w:trPr>
          <w:trHeight w:val="85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/inváznych/invázne sa správajúcich druhov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percento pokrytia/25 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menej ako 1 %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C05CAD" w:rsidRPr="00FA68E1" w:rsidRDefault="00C05CAD" w:rsidP="00C05CAD">
      <w:pPr>
        <w:rPr>
          <w:rFonts w:ascii="Times New Roman" w:hAnsi="Times New Roman" w:cs="Times New Roman"/>
          <w:sz w:val="20"/>
          <w:szCs w:val="20"/>
        </w:rPr>
      </w:pPr>
    </w:p>
    <w:p w:rsidR="00C05CAD" w:rsidRPr="00FA68E1" w:rsidRDefault="00C05CAD" w:rsidP="00C05C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Kr6 (40A0*) </w:t>
      </w:r>
      <w:proofErr w:type="spellStart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Xerotermné</w:t>
      </w:r>
      <w:proofErr w:type="spellEnd"/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kroviny 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532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5"/>
        <w:gridCol w:w="1249"/>
        <w:gridCol w:w="940"/>
        <w:gridCol w:w="4678"/>
      </w:tblGrid>
      <w:tr w:rsidR="00C05CAD" w:rsidRPr="00FA68E1" w:rsidTr="00EF3711">
        <w:trPr>
          <w:trHeight w:val="705"/>
        </w:trPr>
        <w:tc>
          <w:tcPr>
            <w:tcW w:w="2775" w:type="dxa"/>
            <w:shd w:val="clear" w:color="auto" w:fill="FFFFFF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249" w:type="dxa"/>
            <w:shd w:val="clear" w:color="auto" w:fill="FFFFFF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Merateľný indikátor</w:t>
            </w:r>
          </w:p>
        </w:tc>
        <w:tc>
          <w:tcPr>
            <w:tcW w:w="940" w:type="dxa"/>
            <w:shd w:val="clear" w:color="auto" w:fill="FFFFFF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4678" w:type="dxa"/>
            <w:shd w:val="clear" w:color="auto" w:fill="FFFFFF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Poznámky/Doplňujúce informácie</w:t>
            </w:r>
          </w:p>
        </w:tc>
      </w:tr>
      <w:tr w:rsidR="00C05CAD" w:rsidRPr="00FA68E1" w:rsidTr="00EF3711">
        <w:trPr>
          <w:trHeight w:val="290"/>
        </w:trPr>
        <w:tc>
          <w:tcPr>
            <w:tcW w:w="2775" w:type="dxa"/>
            <w:shd w:val="clear" w:color="auto" w:fill="FFFFFF"/>
            <w:vAlign w:val="bottom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49" w:type="dxa"/>
            <w:shd w:val="clear" w:color="auto" w:fill="FFFFFF"/>
            <w:vAlign w:val="bottom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940" w:type="dxa"/>
            <w:shd w:val="clear" w:color="auto" w:fill="FFFFFF"/>
            <w:vAlign w:val="bottom"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1,52</w:t>
            </w:r>
          </w:p>
        </w:tc>
        <w:tc>
          <w:tcPr>
            <w:tcW w:w="4678" w:type="dxa"/>
            <w:shd w:val="clear" w:color="auto" w:fill="FFFFFF"/>
            <w:vAlign w:val="bottom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C05CAD" w:rsidRPr="00FA68E1" w:rsidTr="00EF3711">
        <w:trPr>
          <w:trHeight w:val="699"/>
        </w:trPr>
        <w:tc>
          <w:tcPr>
            <w:tcW w:w="2775" w:type="dxa"/>
            <w:shd w:val="clear" w:color="auto" w:fill="FFFFFF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 m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40" w:type="dxa"/>
            <w:shd w:val="clear" w:color="auto" w:fill="FFFFFF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5 druhov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FA68E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Aconitum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anthora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Amygdalus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nana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Arabis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turrita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humili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fruticosa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mahaleb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Cornus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mas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Crataegus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monogyna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Cyanus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triumfettii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Euonymus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verrucosus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album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Geranium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sanguineum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perennis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Ligustrum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vulgare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Polygonatum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Rosa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canina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. , </w:t>
            </w:r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Rosa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pimpinellifolia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Sesleria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heufleriana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Spiraea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Viburnum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lantana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hirundinaria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>hirta</w:t>
            </w:r>
            <w:proofErr w:type="spellEnd"/>
            <w:r w:rsidRPr="00FA68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Waldsteinia</w:t>
            </w:r>
            <w:proofErr w:type="spellEnd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geoides</w:t>
            </w:r>
            <w:proofErr w:type="spellEnd"/>
          </w:p>
        </w:tc>
      </w:tr>
      <w:tr w:rsidR="00C05CAD" w:rsidRPr="00FA68E1" w:rsidTr="00EF3711">
        <w:trPr>
          <w:trHeight w:val="290"/>
        </w:trPr>
        <w:tc>
          <w:tcPr>
            <w:tcW w:w="2775" w:type="dxa"/>
            <w:shd w:val="clear" w:color="auto" w:fill="FFFFFF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krovín a drevín /plocha biotopu</w:t>
            </w:r>
          </w:p>
        </w:tc>
        <w:tc>
          <w:tcPr>
            <w:tcW w:w="940" w:type="dxa"/>
            <w:shd w:val="clear" w:color="auto" w:fill="FFFFFF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viac ako 50 % krovín, menej ako 20 % drevín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zastúpenie teplomilných drevín a krovín na výmere väčšej ako polovica z výmery biotopu, výmera drevín v stromovej etáži minimálna.</w:t>
            </w:r>
          </w:p>
        </w:tc>
      </w:tr>
      <w:tr w:rsidR="00C05CAD" w:rsidRPr="00FA68E1" w:rsidTr="00EF3711">
        <w:trPr>
          <w:trHeight w:val="850"/>
        </w:trPr>
        <w:tc>
          <w:tcPr>
            <w:tcW w:w="2775" w:type="dxa"/>
            <w:shd w:val="clear" w:color="auto" w:fill="FFFFFF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/inváznych/invázne sa správajúcich druhov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pokrytia/16 m</w:t>
            </w: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40" w:type="dxa"/>
            <w:shd w:val="clear" w:color="auto" w:fill="FFFFFF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1 %</w:t>
            </w:r>
          </w:p>
        </w:tc>
        <w:tc>
          <w:tcPr>
            <w:tcW w:w="4678" w:type="dxa"/>
            <w:shd w:val="clear" w:color="auto" w:fill="FFFFFF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výskytu, alebo len s minimálnym výskytom nepôvodných a inváznych druhov na území.</w:t>
            </w:r>
          </w:p>
        </w:tc>
      </w:tr>
    </w:tbl>
    <w:p w:rsidR="00C05CAD" w:rsidRPr="00FA68E1" w:rsidRDefault="00C05CAD" w:rsidP="00C05CAD">
      <w:pPr>
        <w:rPr>
          <w:rFonts w:ascii="Times New Roman" w:hAnsi="Times New Roman" w:cs="Times New Roman"/>
          <w:sz w:val="20"/>
          <w:szCs w:val="20"/>
        </w:rPr>
      </w:pPr>
    </w:p>
    <w:p w:rsidR="00C05CAD" w:rsidRPr="00FA68E1" w:rsidRDefault="00C05CAD" w:rsidP="00C05CA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druhu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>Kr2 (5130) Porasty borievky obyčajnej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8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8"/>
        <w:gridCol w:w="1251"/>
        <w:gridCol w:w="874"/>
        <w:gridCol w:w="4864"/>
      </w:tblGrid>
      <w:tr w:rsidR="00C05CAD" w:rsidRPr="00FA68E1" w:rsidTr="00EF3711">
        <w:trPr>
          <w:trHeight w:val="705"/>
        </w:trPr>
        <w:tc>
          <w:tcPr>
            <w:tcW w:w="2868" w:type="dxa"/>
            <w:shd w:val="clear" w:color="auto" w:fill="auto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251" w:type="dxa"/>
            <w:shd w:val="clear" w:color="auto" w:fill="auto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Merateľný indikátor</w:t>
            </w:r>
          </w:p>
        </w:tc>
        <w:tc>
          <w:tcPr>
            <w:tcW w:w="874" w:type="dxa"/>
            <w:shd w:val="clear" w:color="auto" w:fill="auto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4864" w:type="dxa"/>
            <w:shd w:val="clear" w:color="auto" w:fill="auto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Poznámky/Doplňujúce informácie</w:t>
            </w:r>
          </w:p>
        </w:tc>
      </w:tr>
      <w:tr w:rsidR="00C05CAD" w:rsidRPr="00FA68E1" w:rsidTr="00EF3711">
        <w:trPr>
          <w:trHeight w:val="290"/>
        </w:trPr>
        <w:tc>
          <w:tcPr>
            <w:tcW w:w="2868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0,11</w:t>
            </w:r>
          </w:p>
        </w:tc>
        <w:tc>
          <w:tcPr>
            <w:tcW w:w="4864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existujúcu výmeru biotopu.</w:t>
            </w:r>
          </w:p>
        </w:tc>
      </w:tr>
      <w:tr w:rsidR="00C05CAD" w:rsidRPr="00FA68E1" w:rsidTr="00EF3711">
        <w:trPr>
          <w:trHeight w:val="2320"/>
        </w:trPr>
        <w:tc>
          <w:tcPr>
            <w:tcW w:w="2868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10 druhov</w:t>
            </w:r>
          </w:p>
        </w:tc>
        <w:tc>
          <w:tcPr>
            <w:tcW w:w="4864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</w:p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Agrimonia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eupatoria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Achillea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millefolium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agg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Anthyllis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vulneraria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Arrhenatherum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elatius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Asperula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cynanchica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Berberis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Brachypodium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pinnatum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Briza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media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Bromus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erectus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humilis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tomentosa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Carlina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acaulis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Carlina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Colymbada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scabiosa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Dianthus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carthusianorum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Festuca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rupicola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Festuca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valesiaca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Genista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tinctoria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Hypericum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perforatum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Juniperus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communis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Leontodon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hispidus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Pimpinella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saxifraga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Potentilla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heptaphylla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Salvia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S.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verticillata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Sanguisorba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minor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Scabiosa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ochroleuca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Teucrium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chamaedrys</w:t>
            </w:r>
            <w:proofErr w:type="spellEnd"/>
          </w:p>
        </w:tc>
      </w:tr>
      <w:tr w:rsidR="00C05CAD" w:rsidRPr="00FA68E1" w:rsidTr="00EF3711">
        <w:trPr>
          <w:trHeight w:val="870"/>
        </w:trPr>
        <w:tc>
          <w:tcPr>
            <w:tcW w:w="2868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 – 70 %</w:t>
            </w:r>
          </w:p>
        </w:tc>
        <w:tc>
          <w:tcPr>
            <w:tcW w:w="4864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Stredne až husto zapojené porasty borievky obyčajnej, ktoré sa vytvorili na opustených pasienkoch alebo na extenzívne pasených plochách. </w:t>
            </w:r>
          </w:p>
        </w:tc>
      </w:tr>
      <w:tr w:rsidR="00C05CAD" w:rsidRPr="00FA68E1" w:rsidTr="00EF3711">
        <w:trPr>
          <w:trHeight w:val="850"/>
        </w:trPr>
        <w:tc>
          <w:tcPr>
            <w:tcW w:w="2868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/inváznych/invázne sa správajúcich druhov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pokrytia/25 m2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1 %</w:t>
            </w:r>
          </w:p>
        </w:tc>
        <w:tc>
          <w:tcPr>
            <w:tcW w:w="4864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Minimálny výskyt nepôvodných invázne sa správajúcich druhov (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Solidago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canadensis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</w:p>
        </w:tc>
      </w:tr>
    </w:tbl>
    <w:p w:rsidR="00C05CAD" w:rsidRPr="00FA68E1" w:rsidRDefault="00C05CAD" w:rsidP="00C05C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AD" w:rsidRPr="00FA68E1" w:rsidRDefault="00C05CAD" w:rsidP="00C05CA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C05CAD" w:rsidRPr="00FA68E1" w:rsidRDefault="00C05CAD" w:rsidP="00C05C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FA68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Sk8 (8310) </w:t>
      </w:r>
      <w:r w:rsidRPr="00FA68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Nesprístupnené jaskynné útvary</w:t>
      </w:r>
      <w:r w:rsidRPr="00FA68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atribútov:</w:t>
      </w: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3"/>
        <w:gridCol w:w="1299"/>
        <w:gridCol w:w="1443"/>
        <w:gridCol w:w="5342"/>
      </w:tblGrid>
      <w:tr w:rsidR="00C05CAD" w:rsidRPr="00FA68E1" w:rsidTr="00EF3711">
        <w:trPr>
          <w:trHeight w:val="480"/>
        </w:trPr>
        <w:tc>
          <w:tcPr>
            <w:tcW w:w="1733" w:type="dxa"/>
            <w:shd w:val="clear" w:color="auto" w:fill="auto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299" w:type="dxa"/>
            <w:shd w:val="clear" w:color="auto" w:fill="auto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Merateľný indikátor</w:t>
            </w:r>
          </w:p>
        </w:tc>
        <w:tc>
          <w:tcPr>
            <w:tcW w:w="1443" w:type="dxa"/>
            <w:shd w:val="clear" w:color="auto" w:fill="auto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5342" w:type="dxa"/>
            <w:shd w:val="clear" w:color="auto" w:fill="auto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Poznámky/Doplňujúce informácie</w:t>
            </w:r>
          </w:p>
        </w:tc>
      </w:tr>
      <w:tr w:rsidR="00C05CAD" w:rsidRPr="00FA68E1" w:rsidTr="00EF3711">
        <w:trPr>
          <w:trHeight w:val="311"/>
        </w:trPr>
        <w:tc>
          <w:tcPr>
            <w:tcW w:w="1733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počet 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342" w:type="dxa"/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Udržať výmeru biotopu, bez poškodení vstupov do jaskynných priestorov. </w:t>
            </w:r>
          </w:p>
        </w:tc>
      </w:tr>
      <w:tr w:rsidR="00C05CAD" w:rsidRPr="00FA68E1" w:rsidTr="00EF3711">
        <w:trPr>
          <w:trHeight w:val="311"/>
        </w:trPr>
        <w:tc>
          <w:tcPr>
            <w:tcW w:w="1733" w:type="dxa"/>
            <w:shd w:val="clear" w:color="auto" w:fill="auto"/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Neprístupnosť biotopu 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osôb/mesiac/</w:t>
            </w:r>
          </w:p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jaskynný útvar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342" w:type="dxa"/>
            <w:shd w:val="clear" w:color="auto" w:fill="auto"/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Minimálna až žiadna návštevnosť lokalít (výlučne za účelom prieskumu).</w:t>
            </w:r>
          </w:p>
        </w:tc>
      </w:tr>
    </w:tbl>
    <w:p w:rsidR="00C05CAD" w:rsidRPr="00FA68E1" w:rsidRDefault="00C05CAD" w:rsidP="00C05C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AD" w:rsidRPr="00FA68E1" w:rsidRDefault="00C05CAD" w:rsidP="00C05CA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A68E1">
        <w:rPr>
          <w:rFonts w:ascii="Times New Roman" w:hAnsi="Times New Roman" w:cs="Times New Roman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sz w:val="24"/>
          <w:szCs w:val="24"/>
        </w:rPr>
        <w:t>Pulsatilla</w:t>
      </w:r>
      <w:proofErr w:type="spellEnd"/>
      <w:r w:rsidRPr="00FA68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sz w:val="24"/>
          <w:szCs w:val="24"/>
        </w:rPr>
        <w:t>grandis</w:t>
      </w:r>
      <w:proofErr w:type="spellEnd"/>
      <w:r w:rsidRPr="00FA68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68E1">
        <w:rPr>
          <w:rFonts w:ascii="Times New Roman" w:hAnsi="Times New Roman" w:cs="Times New Roman"/>
          <w:sz w:val="24"/>
          <w:szCs w:val="24"/>
        </w:rPr>
        <w:t>za splnenia nasledovných atribútov:</w:t>
      </w:r>
    </w:p>
    <w:tbl>
      <w:tblPr>
        <w:tblW w:w="5392" w:type="pct"/>
        <w:tblInd w:w="-24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62"/>
        <w:gridCol w:w="1496"/>
        <w:gridCol w:w="2846"/>
        <w:gridCol w:w="3868"/>
      </w:tblGrid>
      <w:tr w:rsidR="00C05CAD" w:rsidRPr="00FA68E1" w:rsidTr="00EF3711">
        <w:trPr>
          <w:trHeight w:val="36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Merateľný indikátor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Poznámky/Doplňujúce informácie</w:t>
            </w:r>
          </w:p>
        </w:tc>
      </w:tr>
      <w:tr w:rsidR="00C05CAD" w:rsidRPr="00FA68E1" w:rsidTr="00EF3711">
        <w:trPr>
          <w:trHeight w:val="278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100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Zachovanie súčasnej populácie druhu, ktorá sa vyskytuje v intervale 100 až 350 jedincov. </w:t>
            </w:r>
          </w:p>
        </w:tc>
      </w:tr>
      <w:tr w:rsidR="00C05CAD" w:rsidRPr="00FA68E1" w:rsidTr="00EF3711">
        <w:trPr>
          <w:trHeight w:val="289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súčasnú výmeru biotopu druhu.</w:t>
            </w:r>
          </w:p>
        </w:tc>
      </w:tr>
      <w:tr w:rsidR="00C05CAD" w:rsidRPr="00FA68E1" w:rsidTr="00EF3711">
        <w:trPr>
          <w:trHeight w:val="945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Výskyt typických druhov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3 druhy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Anthericum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ramosum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Anthyllis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vulneraria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Asperula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cynanchica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Filipendula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Genista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tinctoria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Helianthemum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nummularium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Hippocrepis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comosa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Hypericum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perforatum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Koeleria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macrantha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Pimpinella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hirta</w:t>
            </w:r>
            <w:proofErr w:type="spellEnd"/>
          </w:p>
        </w:tc>
      </w:tr>
      <w:tr w:rsidR="00C05CAD" w:rsidRPr="00FA68E1" w:rsidTr="00EF3711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sukcesných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drevín %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35 % drevín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  <w:t xml:space="preserve">Minimálne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  <w:t>sukcesné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  <w:t xml:space="preserve"> porasty drevín alebo krovín na lokalitách druhu.</w:t>
            </w:r>
          </w:p>
        </w:tc>
      </w:tr>
      <w:tr w:rsidR="00C05CAD" w:rsidRPr="00FA68E1" w:rsidTr="00EF3711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Percento  (%) pokrytia / ha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0 %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</w:pPr>
            <w:r w:rsidRPr="00FA68E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>Minimálne (žiadne) zastúpenie</w:t>
            </w:r>
            <w:r w:rsidRPr="00FA68E1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  <w:r w:rsidRPr="00FA68E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>inváznych druhov</w:t>
            </w:r>
            <w:r w:rsidRPr="00FA68E1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</w:p>
        </w:tc>
      </w:tr>
    </w:tbl>
    <w:p w:rsidR="00C05CAD" w:rsidRPr="00FA68E1" w:rsidRDefault="00C05CAD" w:rsidP="00C05CAD">
      <w:pPr>
        <w:rPr>
          <w:rFonts w:ascii="Times New Roman" w:hAnsi="Times New Roman" w:cs="Times New Roman"/>
        </w:rPr>
      </w:pPr>
    </w:p>
    <w:p w:rsidR="00C05CAD" w:rsidRPr="00FA68E1" w:rsidRDefault="00C05CAD" w:rsidP="00C05CAD">
      <w:pPr>
        <w:pStyle w:val="Zkladntext"/>
        <w:widowControl w:val="0"/>
        <w:jc w:val="left"/>
        <w:rPr>
          <w:b w:val="0"/>
        </w:rPr>
      </w:pPr>
      <w:r w:rsidRPr="00FA68E1">
        <w:rPr>
          <w:b w:val="0"/>
        </w:rPr>
        <w:t xml:space="preserve">Zachovanie priaznivého stavu druhu </w:t>
      </w:r>
      <w:proofErr w:type="spellStart"/>
      <w:r w:rsidRPr="00FA68E1">
        <w:rPr>
          <w:i/>
        </w:rPr>
        <w:t>Dracocephalum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austriacum</w:t>
      </w:r>
      <w:proofErr w:type="spellEnd"/>
      <w:r w:rsidRPr="00FA68E1">
        <w:rPr>
          <w:i/>
        </w:rPr>
        <w:t xml:space="preserve"> </w:t>
      </w:r>
      <w:r w:rsidRPr="00FA68E1">
        <w:rPr>
          <w:b w:val="0"/>
        </w:rPr>
        <w:t>za splnenia nasledovných atribútov:</w:t>
      </w:r>
    </w:p>
    <w:tbl>
      <w:tblPr>
        <w:tblW w:w="5371" w:type="pct"/>
        <w:tblInd w:w="-14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93"/>
        <w:gridCol w:w="1506"/>
        <w:gridCol w:w="2011"/>
        <w:gridCol w:w="4224"/>
      </w:tblGrid>
      <w:tr w:rsidR="00C05CAD" w:rsidRPr="00FA68E1" w:rsidTr="00EF3711">
        <w:trPr>
          <w:trHeight w:val="357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Merateľný indikátor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Poznámky/Doplňujúce informácie</w:t>
            </w:r>
          </w:p>
        </w:tc>
      </w:tr>
      <w:tr w:rsidR="00C05CAD" w:rsidRPr="00FA68E1" w:rsidTr="00EF3711">
        <w:trPr>
          <w:trHeight w:val="276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300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Zachovanie populácie druhu na úrovni min. 300 jedincov (v závislosti od variability početnosti populácie v rámci jednotlivých rokov).</w:t>
            </w:r>
          </w:p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 súčasnosti je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početnost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evidovaná v rozmedzí od 150 do 350 jedincov.</w:t>
            </w:r>
          </w:p>
        </w:tc>
      </w:tr>
      <w:tr w:rsidR="00C05CAD" w:rsidRPr="00FA68E1" w:rsidTr="00EF3711">
        <w:trPr>
          <w:trHeight w:val="937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Udržať súčasnú potenciálnu výmeru biotopu druhu.</w:t>
            </w:r>
          </w:p>
        </w:tc>
      </w:tr>
      <w:tr w:rsidR="00C05CAD" w:rsidRPr="00FA68E1" w:rsidTr="00EF3711">
        <w:trPr>
          <w:trHeight w:val="937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Výskyt typických druhov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3 druhy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Anthyllis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vulneraria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Carex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humilis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Colymbada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scabiosa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Corothamnus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procumbens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Cyanus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triumfettii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Erysimum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pallens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Helianthemum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nummularium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Chamaecytisus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hirsutus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Melica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ciliata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Polygonatum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odoratum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Pulsatilla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grandis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Stachys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recta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montanum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Thesium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linophyllon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Tithymalus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cyparissias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Vincetoxicum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hirundinaria</w:t>
            </w:r>
            <w:proofErr w:type="spellEnd"/>
          </w:p>
        </w:tc>
      </w:tr>
      <w:tr w:rsidR="00C05CAD" w:rsidRPr="00FA68E1" w:rsidTr="00EF3711">
        <w:trPr>
          <w:trHeight w:val="937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sukcesných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drevín %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15 % drevín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AFBFA"/>
              </w:rPr>
            </w:pPr>
            <w:r w:rsidRPr="00FA68E1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AFBFA"/>
              </w:rPr>
              <w:t>Minimálne zastúpenie sukcesie na nelesných lokalitách druhu</w:t>
            </w:r>
          </w:p>
        </w:tc>
      </w:tr>
      <w:tr w:rsidR="00C05CAD" w:rsidRPr="00FA68E1" w:rsidTr="00EF3711">
        <w:trPr>
          <w:trHeight w:val="937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Percento  (%) pokrytia / ha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AFBFA"/>
              </w:rPr>
            </w:pPr>
            <w:r w:rsidRPr="00FA68E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>Minimálne zastúpenie</w:t>
            </w:r>
            <w:r w:rsidRPr="00FA68E1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  <w:r w:rsidRPr="00FA68E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>inváznych druhov</w:t>
            </w:r>
            <w:r w:rsidRPr="00FA68E1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</w:p>
        </w:tc>
      </w:tr>
    </w:tbl>
    <w:p w:rsidR="00C05CAD" w:rsidRPr="00FA68E1" w:rsidRDefault="00C05CAD" w:rsidP="00C05CAD">
      <w:pPr>
        <w:pStyle w:val="Zkladntext"/>
        <w:widowControl w:val="0"/>
        <w:jc w:val="left"/>
        <w:rPr>
          <w:b w:val="0"/>
        </w:rPr>
      </w:pPr>
    </w:p>
    <w:p w:rsidR="00C05CAD" w:rsidRPr="00FA68E1" w:rsidRDefault="00C05CAD" w:rsidP="00C05CAD">
      <w:pPr>
        <w:pStyle w:val="Zkladntext"/>
        <w:widowControl w:val="0"/>
        <w:jc w:val="left"/>
        <w:rPr>
          <w:b w:val="0"/>
        </w:rPr>
      </w:pPr>
    </w:p>
    <w:p w:rsidR="00C05CAD" w:rsidRPr="00FA68E1" w:rsidRDefault="00C05CAD" w:rsidP="00C05CAD">
      <w:pPr>
        <w:rPr>
          <w:rFonts w:ascii="Times New Roman" w:hAnsi="Times New Roman" w:cs="Times New Roman"/>
          <w:sz w:val="24"/>
          <w:szCs w:val="24"/>
        </w:rPr>
      </w:pPr>
      <w:r w:rsidRPr="00FA68E1">
        <w:rPr>
          <w:rFonts w:ascii="Times New Roman" w:hAnsi="Times New Roman" w:cs="Times New Roman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sz w:val="24"/>
          <w:szCs w:val="24"/>
        </w:rPr>
        <w:t>Pontechium</w:t>
      </w:r>
      <w:proofErr w:type="spellEnd"/>
      <w:r w:rsidRPr="00FA68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sz w:val="24"/>
          <w:szCs w:val="24"/>
        </w:rPr>
        <w:t>maculatum</w:t>
      </w:r>
      <w:proofErr w:type="spellEnd"/>
      <w:r w:rsidRPr="00FA68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sz w:val="24"/>
          <w:szCs w:val="24"/>
        </w:rPr>
        <w:t>ssp</w:t>
      </w:r>
      <w:proofErr w:type="spellEnd"/>
      <w:r w:rsidRPr="00FA68E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FA68E1">
        <w:rPr>
          <w:rFonts w:ascii="Times New Roman" w:hAnsi="Times New Roman" w:cs="Times New Roman"/>
          <w:b/>
          <w:i/>
          <w:sz w:val="24"/>
          <w:szCs w:val="24"/>
        </w:rPr>
        <w:t>maculatum</w:t>
      </w:r>
      <w:proofErr w:type="spellEnd"/>
      <w:r w:rsidRPr="00FA68E1">
        <w:rPr>
          <w:rFonts w:ascii="Times New Roman" w:hAnsi="Times New Roman" w:cs="Times New Roman"/>
          <w:b/>
          <w:i/>
          <w:sz w:val="24"/>
          <w:szCs w:val="24"/>
        </w:rPr>
        <w:t xml:space="preserve"> (syn. </w:t>
      </w:r>
      <w:proofErr w:type="spellStart"/>
      <w:r w:rsidRPr="00FA68E1">
        <w:rPr>
          <w:rFonts w:ascii="Times New Roman" w:hAnsi="Times New Roman" w:cs="Times New Roman"/>
          <w:b/>
          <w:i/>
          <w:sz w:val="24"/>
          <w:szCs w:val="24"/>
        </w:rPr>
        <w:t>Echium</w:t>
      </w:r>
      <w:proofErr w:type="spellEnd"/>
      <w:r w:rsidRPr="00FA68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sz w:val="24"/>
          <w:szCs w:val="24"/>
        </w:rPr>
        <w:t>russicum</w:t>
      </w:r>
      <w:proofErr w:type="spellEnd"/>
      <w:r w:rsidRPr="00FA68E1">
        <w:rPr>
          <w:rFonts w:ascii="Times New Roman" w:hAnsi="Times New Roman" w:cs="Times New Roman"/>
          <w:b/>
          <w:sz w:val="24"/>
          <w:szCs w:val="24"/>
        </w:rPr>
        <w:t>)</w:t>
      </w:r>
      <w:r w:rsidRPr="00FA68E1">
        <w:rPr>
          <w:rFonts w:ascii="Times New Roman" w:hAnsi="Times New Roman" w:cs="Times New Roman"/>
          <w:sz w:val="24"/>
          <w:szCs w:val="24"/>
        </w:rPr>
        <w:t xml:space="preserve"> za splnenia nasledovných atribútov</w:t>
      </w:r>
    </w:p>
    <w:tbl>
      <w:tblPr>
        <w:tblW w:w="5006" w:type="pct"/>
        <w:tblInd w:w="-9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6"/>
        <w:gridCol w:w="1398"/>
        <w:gridCol w:w="1963"/>
        <w:gridCol w:w="3906"/>
      </w:tblGrid>
      <w:tr w:rsidR="00C05CAD" w:rsidRPr="00FA68E1" w:rsidTr="00EF3711">
        <w:trPr>
          <w:trHeight w:val="35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Parameter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Merateľný indikátor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Cieľová hodnota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Poznámky/Doplňujúce informácie</w:t>
            </w:r>
          </w:p>
        </w:tc>
      </w:tr>
      <w:tr w:rsidR="00C05CAD" w:rsidRPr="00FA68E1" w:rsidTr="00EF3711">
        <w:trPr>
          <w:trHeight w:val="274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150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Zachovanie populácie druhu na úrovni min. 150 jedincov (v závislosti od variability početnosti populácie v rámci jednotlivých rokov).</w:t>
            </w:r>
          </w:p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 súčasnosti je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početnost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evidovaná v rozmedzí od 100 do 200 jedincov.</w:t>
            </w:r>
          </w:p>
        </w:tc>
      </w:tr>
      <w:tr w:rsidR="00C05CAD" w:rsidRPr="00FA68E1" w:rsidTr="00EF3711">
        <w:trPr>
          <w:trHeight w:val="93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Udržať súčasnú potenciálnu výmeru biotopu druhu.</w:t>
            </w:r>
          </w:p>
        </w:tc>
      </w:tr>
      <w:tr w:rsidR="00C05CAD" w:rsidRPr="00FA68E1" w:rsidTr="00EF3711">
        <w:trPr>
          <w:trHeight w:val="93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Výskyt typických druhov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3 druhy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</w:pP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Agrimonia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eupatoria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Achillea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millefolium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agg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Arabis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hirsuta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Brachypodium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pinnatum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Clinopodium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vulgare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Eryngium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campestre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Festuca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rupicola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Filipendula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vulgaris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Fragaria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viridis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Galium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Knautia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arvensis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Koeleria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macrantha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Pimpinella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saxifraga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Plantago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media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Potentilla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arenaria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Prunella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laciniata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Pseudolysimachion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spicatum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Salvia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pratensis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Securigera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varia,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Teucrium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chamaedrys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Thymus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pannonicus</w:t>
            </w:r>
            <w:proofErr w:type="spellEnd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Viola </w:t>
            </w:r>
            <w:proofErr w:type="spellStart"/>
            <w:r w:rsidRPr="00FA68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hirta</w:t>
            </w:r>
            <w:proofErr w:type="spellEnd"/>
          </w:p>
        </w:tc>
      </w:tr>
      <w:tr w:rsidR="00C05CAD" w:rsidRPr="00FA68E1" w:rsidTr="00EF3711">
        <w:trPr>
          <w:trHeight w:val="93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sukcesných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drevín v % na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travinných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biotopoch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15 % drevín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AFBFA"/>
              </w:rPr>
            </w:pPr>
            <w:r w:rsidRPr="00FA68E1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AFBFA"/>
              </w:rPr>
              <w:t>Minimálne zastúpenie sukcesie na nelesných lokalitách druhu</w:t>
            </w:r>
          </w:p>
        </w:tc>
      </w:tr>
      <w:tr w:rsidR="00C05CAD" w:rsidRPr="00FA68E1" w:rsidTr="00EF3711">
        <w:trPr>
          <w:trHeight w:val="930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FA68E1">
              <w:rPr>
                <w:rFonts w:ascii="Times New Roman" w:hAnsi="Times New Roman" w:cs="Times New Roman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Percento  (%) pokrytia / ha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AFBFA"/>
              </w:rPr>
            </w:pPr>
            <w:r w:rsidRPr="00FA68E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>Minimálne zastúpenie</w:t>
            </w:r>
            <w:r w:rsidRPr="00FA68E1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  <w:r w:rsidRPr="00FA68E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>inváznych druhov</w:t>
            </w:r>
            <w:r w:rsidRPr="00FA68E1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</w:p>
        </w:tc>
      </w:tr>
    </w:tbl>
    <w:p w:rsidR="00C05CAD" w:rsidRPr="00FA68E1" w:rsidRDefault="00C05CAD" w:rsidP="00C05CAD">
      <w:pPr>
        <w:pStyle w:val="Zkladntext"/>
        <w:widowControl w:val="0"/>
        <w:jc w:val="left"/>
        <w:rPr>
          <w:i/>
          <w:sz w:val="20"/>
          <w:szCs w:val="20"/>
        </w:rPr>
      </w:pPr>
      <w:r w:rsidRPr="00FA68E1">
        <w:rPr>
          <w:b w:val="0"/>
        </w:rPr>
        <w:t xml:space="preserve">Zlepšenie stavu druhu </w:t>
      </w:r>
      <w:proofErr w:type="spellStart"/>
      <w:r w:rsidRPr="00FA68E1">
        <w:rPr>
          <w:i/>
        </w:rPr>
        <w:t>Stenobothrus</w:t>
      </w:r>
      <w:proofErr w:type="spellEnd"/>
      <w:r w:rsidRPr="00FA68E1">
        <w:rPr>
          <w:i/>
        </w:rPr>
        <w:t xml:space="preserve"> </w:t>
      </w:r>
      <w:proofErr w:type="spellStart"/>
      <w:r w:rsidRPr="00FA68E1">
        <w:rPr>
          <w:i/>
        </w:rPr>
        <w:t>eurasius</w:t>
      </w:r>
      <w:proofErr w:type="spellEnd"/>
      <w:r w:rsidRPr="00FA68E1">
        <w:rPr>
          <w:i/>
        </w:rPr>
        <w:t xml:space="preserve"> </w:t>
      </w:r>
      <w:r w:rsidRPr="00FA68E1">
        <w:rPr>
          <w:b w:val="0"/>
        </w:rPr>
        <w:t>za splnenia nasledovných atribútov:</w:t>
      </w:r>
      <w:r w:rsidRPr="00FA68E1">
        <w:rPr>
          <w:sz w:val="20"/>
          <w:szCs w:val="20"/>
        </w:rPr>
        <w:t xml:space="preserve">   </w:t>
      </w:r>
      <w:r w:rsidRPr="00FA68E1">
        <w:rPr>
          <w:i/>
          <w:sz w:val="20"/>
          <w:szCs w:val="20"/>
        </w:rPr>
        <w:t xml:space="preserve">  </w:t>
      </w:r>
    </w:p>
    <w:tbl>
      <w:tblPr>
        <w:tblW w:w="5159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3"/>
        <w:gridCol w:w="1937"/>
        <w:gridCol w:w="1485"/>
        <w:gridCol w:w="3895"/>
      </w:tblGrid>
      <w:tr w:rsidR="00C05CAD" w:rsidRPr="00FA68E1" w:rsidTr="00EF3711">
        <w:trPr>
          <w:trHeight w:val="31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05CAD" w:rsidRPr="00FA68E1" w:rsidTr="00EF3711">
        <w:trPr>
          <w:trHeight w:val="31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imágo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200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 súčasnosti sa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odhoduje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počet na  0 až 500 jedincov, cieľom je stabilná populácia druhu v území</w:t>
            </w:r>
          </w:p>
        </w:tc>
      </w:tr>
      <w:tr w:rsidR="00C05CAD" w:rsidRPr="00FA68E1" w:rsidTr="00EF3711">
        <w:trPr>
          <w:trHeight w:val="62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rozloha biotopu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udržanie výmery biotopu druhu </w:t>
            </w:r>
          </w:p>
        </w:tc>
      </w:tr>
      <w:tr w:rsidR="00C05CAD" w:rsidRPr="00FA68E1" w:rsidTr="00EF3711">
        <w:trPr>
          <w:trHeight w:val="9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kvalita biotopu druhu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(%) intenzívne obhospodarovaných lesostepí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max. 10 % biotopu druhu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Zachovalá štruktúra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>xerotermných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</w:rPr>
              <w:t xml:space="preserve"> lesostepí, ich okrajov, príp. s extenzívnym obhospodarovaním pastvou alebo kosením</w:t>
            </w:r>
          </w:p>
        </w:tc>
      </w:tr>
    </w:tbl>
    <w:p w:rsidR="00C05CAD" w:rsidRPr="00FA68E1" w:rsidRDefault="00C05CAD" w:rsidP="00C05CAD">
      <w:pPr>
        <w:rPr>
          <w:rFonts w:ascii="Times New Roman" w:hAnsi="Times New Roman" w:cs="Times New Roman"/>
        </w:rPr>
      </w:pPr>
    </w:p>
    <w:p w:rsidR="00C05CAD" w:rsidRPr="00FA68E1" w:rsidRDefault="00C05CAD" w:rsidP="00C05CAD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A68E1">
        <w:rPr>
          <w:rFonts w:ascii="Times New Roman" w:hAnsi="Times New Roman" w:cs="Times New Roman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</w:rPr>
        <w:t>Euplagia</w:t>
      </w:r>
      <w:proofErr w:type="spellEnd"/>
      <w:r w:rsidRPr="00FA68E1">
        <w:rPr>
          <w:rFonts w:ascii="Times New Roman" w:hAnsi="Times New Roman" w:cs="Times New Roman"/>
          <w:b/>
          <w:i/>
        </w:rPr>
        <w:t xml:space="preserve"> (</w:t>
      </w:r>
      <w:proofErr w:type="spellStart"/>
      <w:r w:rsidRPr="00FA68E1">
        <w:rPr>
          <w:rFonts w:ascii="Times New Roman" w:hAnsi="Times New Roman" w:cs="Times New Roman"/>
          <w:b/>
          <w:i/>
          <w:szCs w:val="24"/>
        </w:rPr>
        <w:t>Callimorpha</w:t>
      </w:r>
      <w:proofErr w:type="spellEnd"/>
      <w:r w:rsidRPr="00FA68E1">
        <w:rPr>
          <w:rFonts w:ascii="Times New Roman" w:hAnsi="Times New Roman" w:cs="Times New Roman"/>
          <w:b/>
          <w:i/>
          <w:szCs w:val="24"/>
        </w:rPr>
        <w:t xml:space="preserve">) </w:t>
      </w:r>
      <w:proofErr w:type="spellStart"/>
      <w:r w:rsidRPr="00FA68E1">
        <w:rPr>
          <w:rFonts w:ascii="Times New Roman" w:hAnsi="Times New Roman" w:cs="Times New Roman"/>
          <w:b/>
          <w:i/>
          <w:szCs w:val="24"/>
        </w:rPr>
        <w:t>quadripunctaria</w:t>
      </w:r>
      <w:proofErr w:type="spellEnd"/>
      <w:r w:rsidRPr="00FA68E1">
        <w:rPr>
          <w:rFonts w:ascii="Times New Roman" w:hAnsi="Times New Roman" w:cs="Times New Roman"/>
          <w:szCs w:val="24"/>
        </w:rPr>
        <w:t xml:space="preserve"> za splnenia nasledovných atribútov</w:t>
      </w:r>
      <w:r w:rsidRPr="00FA68E1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tbl>
      <w:tblPr>
        <w:tblW w:w="957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7"/>
        <w:gridCol w:w="1138"/>
        <w:gridCol w:w="1556"/>
        <w:gridCol w:w="4252"/>
      </w:tblGrid>
      <w:tr w:rsidR="00C05CAD" w:rsidRPr="00FA68E1" w:rsidTr="00EF3711">
        <w:trPr>
          <w:trHeight w:val="531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Parameter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sz w:val="18"/>
                <w:szCs w:val="18"/>
              </w:rPr>
              <w:t>Doplnkové informácie</w:t>
            </w:r>
          </w:p>
        </w:tc>
      </w:tr>
      <w:tr w:rsidR="00C05CAD" w:rsidRPr="00FA68E1" w:rsidTr="00EF3711">
        <w:trPr>
          <w:trHeight w:val="553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>V súčasnosti sa odhaduje veľkosť populácie na  100 – 1000 jedincov (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>aktuály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údaj / z SDF) </w:t>
            </w:r>
          </w:p>
        </w:tc>
      </w:tr>
      <w:tr w:rsidR="00C05CAD" w:rsidRPr="00FA68E1" w:rsidTr="00EF3711">
        <w:trPr>
          <w:trHeight w:val="751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>rozloha biotopu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neznáma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riedke lesy, lesné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>ekotony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lesostepné a krovinaté biotopy; zachovať členité  lesné porasty s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>núzkym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>zápojom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 množstvom lesných lúčok,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>svetlín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>ekotonov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>, výrub náletových drevín a krov</w:t>
            </w:r>
          </w:p>
        </w:tc>
      </w:tr>
      <w:tr w:rsidR="00C05CAD" w:rsidRPr="00FA68E1" w:rsidTr="00EF3711">
        <w:trPr>
          <w:trHeight w:val="950"/>
        </w:trPr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prítomnosť kvitnúcich medonosných rastlín (napr.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Sambucus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ebulus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Eupatorium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cannabinum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Origanum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vulgare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i.)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>pokryvnosť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>min. 5 %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Výskyt medonosných druhov  na 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>pokryvnosti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biotopu</w:t>
            </w:r>
          </w:p>
        </w:tc>
      </w:tr>
    </w:tbl>
    <w:p w:rsidR="00C05CAD" w:rsidRPr="00FA68E1" w:rsidRDefault="00C05CAD" w:rsidP="00C05CAD">
      <w:pPr>
        <w:pStyle w:val="Zkladntext"/>
        <w:widowControl w:val="0"/>
        <w:spacing w:after="120"/>
        <w:jc w:val="both"/>
        <w:rPr>
          <w:b w:val="0"/>
          <w:i/>
        </w:rPr>
      </w:pPr>
    </w:p>
    <w:p w:rsidR="00C05CAD" w:rsidRPr="00FA68E1" w:rsidRDefault="00C05CAD" w:rsidP="00C05C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68E1">
        <w:rPr>
          <w:rFonts w:ascii="Times New Roman" w:hAnsi="Times New Roman" w:cs="Times New Roman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sz w:val="24"/>
          <w:szCs w:val="24"/>
        </w:rPr>
        <w:t>Eriogaster</w:t>
      </w:r>
      <w:proofErr w:type="spellEnd"/>
      <w:r w:rsidRPr="00FA68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sz w:val="24"/>
          <w:szCs w:val="24"/>
        </w:rPr>
        <w:t>catax</w:t>
      </w:r>
      <w:proofErr w:type="spellEnd"/>
      <w:r w:rsidRPr="00FA68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68E1">
        <w:rPr>
          <w:rFonts w:ascii="Times New Roman" w:hAnsi="Times New Roman" w:cs="Times New Roman"/>
          <w:sz w:val="24"/>
          <w:szCs w:val="24"/>
        </w:rPr>
        <w:t>za splnenia nasledovných atribútov</w:t>
      </w:r>
      <w:r w:rsidRPr="00FA68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tbl>
      <w:tblPr>
        <w:tblW w:w="5000" w:type="pct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1"/>
        <w:gridCol w:w="1642"/>
        <w:gridCol w:w="1556"/>
        <w:gridCol w:w="2993"/>
      </w:tblGrid>
      <w:tr w:rsidR="00C05CAD" w:rsidRPr="00FA68E1" w:rsidTr="00EF3711">
        <w:trPr>
          <w:trHeight w:val="531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C05CAD" w:rsidRPr="00FA68E1" w:rsidTr="00EF3711">
        <w:trPr>
          <w:trHeight w:val="553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neznáma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5CAD" w:rsidRPr="00FA68E1" w:rsidTr="00EF3711">
        <w:trPr>
          <w:trHeight w:val="441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Udržanie výmery biotopu - krovinaté biotopy, riedke lesy, lesné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ekotony</w:t>
            </w:r>
            <w:proofErr w:type="spellEnd"/>
          </w:p>
        </w:tc>
      </w:tr>
      <w:tr w:rsidR="00C05CAD" w:rsidRPr="00FA68E1" w:rsidTr="00EF3711">
        <w:trPr>
          <w:trHeight w:val="817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ekotony</w:t>
            </w:r>
            <w:proofErr w:type="spell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prítomnosť drevín a krov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max. 70 %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zachovanie medzí a okraje/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ekoton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les-lúka ako úkryty pre </w:t>
            </w:r>
            <w:proofErr w:type="spellStart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imága</w:t>
            </w:r>
            <w:proofErr w:type="spellEnd"/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C05CAD" w:rsidRPr="00FA68E1" w:rsidTr="00EF3711">
        <w:trPr>
          <w:trHeight w:val="1125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eliminovať prítomnosť inváznych a potenciálne inváznych drevín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pokrytia náletových drevín a krov na plochu biotopu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max. 3 %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sekundárna sukcesia na lokalite max. do 3%</w:t>
            </w:r>
          </w:p>
        </w:tc>
      </w:tr>
    </w:tbl>
    <w:p w:rsidR="00C05CAD" w:rsidRPr="00FA68E1" w:rsidRDefault="00C05CAD" w:rsidP="00C05CAD">
      <w:pPr>
        <w:rPr>
          <w:rFonts w:ascii="Times New Roman" w:hAnsi="Times New Roman" w:cs="Times New Roman"/>
        </w:rPr>
      </w:pPr>
    </w:p>
    <w:p w:rsidR="00C05CAD" w:rsidRPr="00FA68E1" w:rsidRDefault="00C05CAD" w:rsidP="00C05C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FA68E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euryale</w:t>
      </w:r>
      <w:proofErr w:type="spellEnd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5261" w:type="pct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1398"/>
        <w:gridCol w:w="1686"/>
        <w:gridCol w:w="4161"/>
      </w:tblGrid>
      <w:tr w:rsidR="00C05CAD" w:rsidRPr="00FA68E1" w:rsidTr="00EF3711">
        <w:trPr>
          <w:trHeight w:val="81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05CAD" w:rsidRPr="00FA68E1" w:rsidTr="00EF3711">
        <w:trPr>
          <w:trHeight w:val="81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adult</w:t>
            </w:r>
            <w:proofErr w:type="spellEnd"/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2000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 evidovaný výskyt druhu v počte 0 – 2500 jedincov v zimoviskách daného ÚEV.</w:t>
            </w:r>
          </w:p>
        </w:tc>
      </w:tr>
      <w:tr w:rsidR="00C05CAD" w:rsidRPr="00FA68E1" w:rsidTr="00EF3711">
        <w:trPr>
          <w:trHeight w:val="81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3 známe zimoviská uvedeného druhu.</w:t>
            </w:r>
          </w:p>
        </w:tc>
      </w:tr>
      <w:tr w:rsidR="00C05CAD" w:rsidRPr="00FA68E1" w:rsidTr="00EF3711">
        <w:trPr>
          <w:trHeight w:val="930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Rozloha potenciálneho reprodukčného/ potravného biotopu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111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Lesné biotopy v celom území – poskytujú  potravné biotopy pre daný druh netopiera. </w:t>
            </w:r>
          </w:p>
        </w:tc>
      </w:tr>
    </w:tbl>
    <w:p w:rsidR="00C05CAD" w:rsidRPr="00FA68E1" w:rsidRDefault="00C05CAD" w:rsidP="00C05CAD">
      <w:pPr>
        <w:pStyle w:val="Zkladntext"/>
        <w:widowControl w:val="0"/>
        <w:jc w:val="left"/>
      </w:pPr>
    </w:p>
    <w:p w:rsidR="00C05CAD" w:rsidRPr="00FA68E1" w:rsidRDefault="00C05CAD" w:rsidP="00C05C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FA68E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ferrumequinum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C05CAD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05CAD" w:rsidRPr="00FA68E1" w:rsidTr="00EF3711">
        <w:trPr>
          <w:trHeight w:val="2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 evidovaný výskyt druhu v počte 20 – 50 jedincov v zimoviskách daného ÚEV.</w:t>
            </w:r>
          </w:p>
        </w:tc>
      </w:tr>
      <w:tr w:rsidR="00C05CAD" w:rsidRPr="00FA68E1" w:rsidTr="00EF3711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4 známe zimoviska uvedeného druhu.</w:t>
            </w:r>
          </w:p>
        </w:tc>
      </w:tr>
      <w:tr w:rsidR="00C05CAD" w:rsidRPr="00FA68E1" w:rsidTr="00EF3711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Rozloha potenciálneho reprodukčného/ potravného biotopu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111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Lesné biotopy v celom území – poskytujú  potravné biotopy pre daný druh netopiera. </w:t>
            </w:r>
          </w:p>
        </w:tc>
      </w:tr>
    </w:tbl>
    <w:p w:rsidR="00C05CAD" w:rsidRPr="00FA68E1" w:rsidRDefault="00C05CAD" w:rsidP="00C05CAD">
      <w:pPr>
        <w:rPr>
          <w:rFonts w:ascii="Times New Roman" w:hAnsi="Times New Roman" w:cs="Times New Roman"/>
        </w:rPr>
      </w:pPr>
    </w:p>
    <w:p w:rsidR="00C05CAD" w:rsidRPr="00FA68E1" w:rsidRDefault="00C05CAD" w:rsidP="00C05CAD">
      <w:pPr>
        <w:spacing w:line="240" w:lineRule="auto"/>
        <w:rPr>
          <w:rFonts w:ascii="Times New Roman" w:hAnsi="Times New Roman" w:cs="Times New Roman"/>
          <w:color w:val="000000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FA68E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hipposideros</w:t>
      </w:r>
      <w:proofErr w:type="spellEnd"/>
      <w:r w:rsidRPr="00FA68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C05CAD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05CAD" w:rsidRPr="00FA68E1" w:rsidTr="00EF3711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 evidovaný výskyt druhu v počte 100 – 500 jedincov v zimoviskách daného ÚEV.</w:t>
            </w:r>
          </w:p>
        </w:tc>
      </w:tr>
      <w:tr w:rsidR="00C05CAD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4 známe zimoviska uvedeného druhu.</w:t>
            </w:r>
          </w:p>
        </w:tc>
      </w:tr>
      <w:tr w:rsidR="00C05CAD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Lesné biotopy v celom území – poskytujú  potravné biotopy pre daný druh netopiera. </w:t>
            </w:r>
          </w:p>
        </w:tc>
      </w:tr>
    </w:tbl>
    <w:p w:rsidR="00C05CAD" w:rsidRPr="00FA68E1" w:rsidRDefault="00C05CAD" w:rsidP="00C05CAD">
      <w:pPr>
        <w:rPr>
          <w:rFonts w:ascii="Times New Roman" w:hAnsi="Times New Roman" w:cs="Times New Roman"/>
        </w:rPr>
      </w:pPr>
    </w:p>
    <w:p w:rsidR="00C05CAD" w:rsidRPr="00FA68E1" w:rsidRDefault="00C05CAD" w:rsidP="00C05CAD">
      <w:pPr>
        <w:rPr>
          <w:rFonts w:ascii="Times New Roman" w:hAnsi="Times New Roman" w:cs="Times New Roman"/>
        </w:rPr>
      </w:pPr>
    </w:p>
    <w:p w:rsidR="00C05CAD" w:rsidRPr="00FA68E1" w:rsidRDefault="00C05CAD" w:rsidP="00C05CAD">
      <w:pPr>
        <w:spacing w:line="240" w:lineRule="auto"/>
        <w:rPr>
          <w:rFonts w:ascii="Times New Roman" w:hAnsi="Times New Roman" w:cs="Times New Roman"/>
          <w:color w:val="000000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C05CAD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05CAD" w:rsidRPr="00FA68E1" w:rsidTr="00EF3711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 evidovaný výskyt druhu v počte 10 – 50 jedincov v zimoviskách daného ÚEV.</w:t>
            </w:r>
          </w:p>
        </w:tc>
      </w:tr>
      <w:tr w:rsidR="00C05CAD" w:rsidRPr="00FA68E1" w:rsidTr="00EF3711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4 známe zimoviská uvedeného druhu.</w:t>
            </w:r>
          </w:p>
        </w:tc>
      </w:tr>
      <w:tr w:rsidR="00C05CAD" w:rsidRPr="00FA68E1" w:rsidTr="00EF3711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111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Lesné biotopy v celom území – poskytujú  potravné biotopy pre daný druh netopiera. </w:t>
            </w:r>
          </w:p>
        </w:tc>
      </w:tr>
    </w:tbl>
    <w:p w:rsidR="00C05CAD" w:rsidRPr="00FA68E1" w:rsidRDefault="00C05CAD" w:rsidP="00C05CAD">
      <w:pPr>
        <w:spacing w:line="240" w:lineRule="auto"/>
        <w:rPr>
          <w:rFonts w:ascii="Times New Roman" w:hAnsi="Times New Roman" w:cs="Times New Roman"/>
        </w:rPr>
      </w:pPr>
    </w:p>
    <w:p w:rsidR="00C05CAD" w:rsidRPr="00FA68E1" w:rsidRDefault="00C05CAD" w:rsidP="00C05C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bechsteinii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C05CAD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05CAD" w:rsidRPr="00FA68E1" w:rsidTr="00EF3711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rozmnožovanie v lesných biotopoch v počte 30-40 jedincov a je zaznamenaný výskyt na zimoviskách v počte 0 až 1 jedinca v rámci celého ÚEV.</w:t>
            </w:r>
          </w:p>
        </w:tc>
      </w:tr>
      <w:tr w:rsidR="00C05CAD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1 známe zimovisko uvedeného druhu.</w:t>
            </w:r>
          </w:p>
        </w:tc>
      </w:tr>
      <w:tr w:rsidR="00C05CAD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Min.111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:rsidR="00C05CAD" w:rsidRPr="00FA68E1" w:rsidRDefault="00C05CAD" w:rsidP="00C05CAD">
      <w:pPr>
        <w:pStyle w:val="Zkladntext"/>
        <w:widowControl w:val="0"/>
        <w:jc w:val="left"/>
        <w:rPr>
          <w:b w:val="0"/>
          <w:color w:val="000000"/>
        </w:rPr>
      </w:pPr>
    </w:p>
    <w:p w:rsidR="00C05CAD" w:rsidRPr="00FA68E1" w:rsidRDefault="00C05CAD" w:rsidP="00C05CAD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FA68E1">
        <w:rPr>
          <w:rFonts w:ascii="Times New Roman" w:hAnsi="Times New Roman" w:cs="Times New Roman"/>
          <w:color w:val="000000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lang w:eastAsia="sk-SK"/>
        </w:rPr>
        <w:t>blythii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lang w:eastAsia="sk-SK"/>
        </w:rPr>
        <w:t>za splnenia nasledovných atribútov.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06"/>
        <w:gridCol w:w="1418"/>
        <w:gridCol w:w="2189"/>
        <w:gridCol w:w="4111"/>
      </w:tblGrid>
      <w:tr w:rsidR="00C05CAD" w:rsidRPr="00FA68E1" w:rsidTr="00EF3711">
        <w:trPr>
          <w:trHeight w:val="355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05CAD" w:rsidRPr="00FA68E1" w:rsidTr="00EF3711">
        <w:trPr>
          <w:trHeight w:val="274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 evidovaný výskyt druhu v počte 10 – 50 jedincov v zimoviskách daného ÚEV.</w:t>
            </w:r>
          </w:p>
        </w:tc>
      </w:tr>
      <w:tr w:rsidR="00C05CAD" w:rsidRPr="00FA68E1" w:rsidTr="00EF3711">
        <w:trPr>
          <w:trHeight w:val="93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2 známe zimoviská uvedeného druhu.</w:t>
            </w:r>
          </w:p>
        </w:tc>
      </w:tr>
      <w:tr w:rsidR="00C05CAD" w:rsidRPr="00FA68E1" w:rsidTr="00EF3711">
        <w:trPr>
          <w:trHeight w:val="930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Lesné biotopy v celom území – poskytujú  potravné biotopy pre daný druh netopiera.</w:t>
            </w:r>
          </w:p>
        </w:tc>
      </w:tr>
    </w:tbl>
    <w:p w:rsidR="00C05CAD" w:rsidRPr="00FA68E1" w:rsidRDefault="00C05CAD" w:rsidP="00C05C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5CAD" w:rsidRPr="00FA68E1" w:rsidRDefault="00C05CAD" w:rsidP="00C05C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emarginatus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5153" w:type="pct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5"/>
        <w:gridCol w:w="1410"/>
        <w:gridCol w:w="1674"/>
        <w:gridCol w:w="4160"/>
      </w:tblGrid>
      <w:tr w:rsidR="00C05CAD" w:rsidRPr="00FA68E1" w:rsidTr="00EF3711">
        <w:trPr>
          <w:trHeight w:val="355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05CAD" w:rsidRPr="00FA68E1" w:rsidTr="00EF3711">
        <w:trPr>
          <w:trHeight w:val="27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30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 evidovaný výskyt druhu v počte 10 – 50 jedincov v zimoviskách daného ÚEV.</w:t>
            </w:r>
          </w:p>
        </w:tc>
      </w:tr>
      <w:tr w:rsidR="00C05CAD" w:rsidRPr="00FA68E1" w:rsidTr="00EF3711">
        <w:trPr>
          <w:trHeight w:val="27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2 známe zimoviská uvedeného druhu.</w:t>
            </w:r>
          </w:p>
        </w:tc>
      </w:tr>
      <w:tr w:rsidR="00C05CAD" w:rsidRPr="00FA68E1" w:rsidTr="00EF3711">
        <w:trPr>
          <w:trHeight w:val="930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Rozloha potenciálneho potravného (lovného) biotopu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111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Lesné biotopy v celom území – poskytujú  potravné biotopy pre daný druh netopiera.</w:t>
            </w:r>
          </w:p>
        </w:tc>
      </w:tr>
    </w:tbl>
    <w:p w:rsidR="00C05CAD" w:rsidRPr="00FA68E1" w:rsidRDefault="00C05CAD" w:rsidP="00C05CAD">
      <w:pPr>
        <w:rPr>
          <w:rFonts w:ascii="Times New Roman" w:hAnsi="Times New Roman" w:cs="Times New Roman"/>
        </w:rPr>
      </w:pPr>
    </w:p>
    <w:p w:rsidR="00C05CAD" w:rsidRPr="00FA68E1" w:rsidRDefault="00C05CAD" w:rsidP="00C05CAD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FA68E1">
        <w:rPr>
          <w:rFonts w:ascii="Times New Roman" w:hAnsi="Times New Roman" w:cs="Times New Roman"/>
          <w:color w:val="000000"/>
        </w:rPr>
        <w:t xml:space="preserve">Zlepšenie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lang w:eastAsia="sk-SK"/>
        </w:rPr>
        <w:t>Miniopterus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lang w:eastAsia="sk-SK"/>
        </w:rPr>
        <w:t>schreibersii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lang w:eastAsia="sk-SK"/>
        </w:rPr>
        <w:t>za splnenia nasledovných atribútov.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64"/>
        <w:gridCol w:w="1418"/>
        <w:gridCol w:w="2189"/>
        <w:gridCol w:w="4111"/>
      </w:tblGrid>
      <w:tr w:rsidR="00C05CAD" w:rsidRPr="00FA68E1" w:rsidTr="00EF3711">
        <w:trPr>
          <w:trHeight w:val="355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05CAD" w:rsidRPr="00FA68E1" w:rsidTr="00EF3711">
        <w:trPr>
          <w:trHeight w:val="27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 súčasnosti neevidujeme výskyt tohto druhu v danom ÚEV. Potreba zlepšenia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vletových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možností do jediného historického zimoviska - Čertovej diery prostredníctvom odstraňovania náletových drevín z okolia vchodu jaskyne. </w:t>
            </w:r>
          </w:p>
        </w:tc>
      </w:tr>
      <w:tr w:rsidR="00C05CAD" w:rsidRPr="00FA68E1" w:rsidTr="00EF3711">
        <w:trPr>
          <w:trHeight w:val="93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 súčasnosti neevidujeme žiadne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zimovisk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uvedeného druhu v danom ÚEV.</w:t>
            </w:r>
          </w:p>
        </w:tc>
      </w:tr>
      <w:tr w:rsidR="00C05CAD" w:rsidRPr="00FA68E1" w:rsidTr="00EF3711">
        <w:trPr>
          <w:trHeight w:val="93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CAD" w:rsidRPr="00FA68E1" w:rsidRDefault="00C05CAD" w:rsidP="00EF371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Lesné biotopy v celom území – poskytujú  potravné biotopy pre daný druh netopiera.</w:t>
            </w:r>
          </w:p>
        </w:tc>
      </w:tr>
    </w:tbl>
    <w:p w:rsidR="00C05CAD" w:rsidRPr="00FA68E1" w:rsidRDefault="00C05CAD" w:rsidP="00C05CAD">
      <w:pPr>
        <w:spacing w:line="240" w:lineRule="auto"/>
        <w:rPr>
          <w:rFonts w:ascii="Times New Roman" w:hAnsi="Times New Roman" w:cs="Times New Roman"/>
        </w:rPr>
      </w:pPr>
    </w:p>
    <w:p w:rsidR="00C05CAD" w:rsidRPr="00FA68E1" w:rsidRDefault="00C05CAD" w:rsidP="00C05C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8E1">
        <w:rPr>
          <w:rFonts w:ascii="Times New Roman" w:hAnsi="Times New Roman" w:cs="Times New Roman"/>
          <w:color w:val="000000"/>
          <w:sz w:val="24"/>
          <w:szCs w:val="24"/>
        </w:rPr>
        <w:t xml:space="preserve">Zlepšenie  stavu druhu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Barbastella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barbastellus</w:t>
      </w:r>
      <w:proofErr w:type="spellEnd"/>
      <w:r w:rsidRPr="00FA68E1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FA68E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C05CAD" w:rsidRPr="00FA68E1" w:rsidTr="00EF3711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05CAD" w:rsidRPr="00FA68E1" w:rsidTr="00EF3711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Predpokladá sa rozmnožovanie v lesných biotopoch ÚEV v počte 20 – 30 jedincov. A je zaznamenaný aj na zimoviskách ÚEV v počte 0 – 2 jedincov.  </w:t>
            </w:r>
          </w:p>
        </w:tc>
      </w:tr>
      <w:tr w:rsidR="00C05CAD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 súčasnosti evidujeme 1 známe </w:t>
            </w:r>
            <w:proofErr w:type="spellStart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zimovisk</w:t>
            </w:r>
            <w:proofErr w:type="spellEnd"/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uvedeného druhu.</w:t>
            </w:r>
          </w:p>
        </w:tc>
      </w:tr>
      <w:tr w:rsidR="00C05CAD" w:rsidRPr="00FA68E1" w:rsidTr="00EF371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 w:rsidRPr="00FA68E1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CAD" w:rsidRPr="00FA68E1" w:rsidRDefault="00C05CAD" w:rsidP="00EF37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FA68E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:rsidR="00C05CAD" w:rsidRPr="00FA68E1" w:rsidRDefault="00C05CAD" w:rsidP="00C05CAD">
      <w:pPr>
        <w:rPr>
          <w:rFonts w:ascii="Times New Roman" w:hAnsi="Times New Roman" w:cs="Times New Roman"/>
        </w:rPr>
      </w:pPr>
    </w:p>
    <w:p w:rsidR="00C05CAD" w:rsidRPr="00FA68E1" w:rsidRDefault="00C05CAD" w:rsidP="00C05CAD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C05CAD" w:rsidRPr="00FA68E1" w:rsidRDefault="00C05CAD" w:rsidP="00C05CAD">
      <w:pPr>
        <w:rPr>
          <w:rFonts w:ascii="Times New Roman" w:hAnsi="Times New Roman" w:cs="Times New Roman"/>
          <w:sz w:val="24"/>
          <w:szCs w:val="24"/>
        </w:rPr>
      </w:pPr>
      <w:r w:rsidRPr="00FA68E1">
        <w:rPr>
          <w:rFonts w:ascii="Times New Roman" w:hAnsi="Times New Roman" w:cs="Times New Roman"/>
          <w:sz w:val="24"/>
          <w:szCs w:val="24"/>
        </w:rPr>
        <w:br w:type="page"/>
      </w:r>
    </w:p>
    <w:p w:rsidR="004F7434" w:rsidRDefault="004F7434"/>
    <w:sectPr w:rsidR="004F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AD"/>
    <w:rsid w:val="004F7434"/>
    <w:rsid w:val="00C0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E463"/>
  <w15:chartTrackingRefBased/>
  <w15:docId w15:val="{3EB53B02-C09D-41EA-A586-B6464F55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5CAD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05C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05C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99"/>
    <w:rsid w:val="00C05CA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C05CA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3232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</cp:revision>
  <dcterms:created xsi:type="dcterms:W3CDTF">2023-01-10T13:35:00Z</dcterms:created>
  <dcterms:modified xsi:type="dcterms:W3CDTF">2023-01-10T13:35:00Z</dcterms:modified>
</cp:coreProperties>
</file>