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9D" w:rsidRPr="00FA68E1" w:rsidRDefault="009B1F9D" w:rsidP="009B1F9D">
      <w:pPr>
        <w:pStyle w:val="Bezriadkovani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1F9D">
        <w:rPr>
          <w:rFonts w:ascii="Times New Roman" w:hAnsi="Times New Roman" w:cs="Times New Roman"/>
          <w:b/>
          <w:sz w:val="24"/>
          <w:szCs w:val="24"/>
        </w:rPr>
        <w:t>C</w:t>
      </w:r>
      <w:r w:rsidRPr="009B1F9D">
        <w:rPr>
          <w:rFonts w:ascii="Times New Roman" w:hAnsi="Times New Roman" w:cs="Times New Roman"/>
          <w:b/>
          <w:sz w:val="24"/>
          <w:szCs w:val="24"/>
        </w:rPr>
        <w:t>iele ochrany</w:t>
      </w:r>
      <w:r w:rsidRPr="00FA68E1">
        <w:rPr>
          <w:rFonts w:ascii="Times New Roman" w:hAnsi="Times New Roman" w:cs="Times New Roman"/>
          <w:sz w:val="24"/>
          <w:szCs w:val="24"/>
        </w:rPr>
        <w:t xml:space="preserve"> </w:t>
      </w:r>
      <w:r w:rsidRPr="00FA68E1">
        <w:rPr>
          <w:rStyle w:val="Nadpis3Char"/>
          <w:rFonts w:ascii="Times New Roman" w:hAnsi="Times New Roman" w:cs="Times New Roman"/>
          <w:b/>
          <w:color w:val="000000" w:themeColor="text1"/>
        </w:rPr>
        <w:t>SKUEV</w:t>
      </w:r>
      <w:r w:rsidRPr="00FA6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0345 </w:t>
      </w:r>
      <w:proofErr w:type="spellStart"/>
      <w:r w:rsidRPr="00FA6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Kečovské</w:t>
      </w:r>
      <w:proofErr w:type="spellEnd"/>
      <w:r w:rsidRPr="00FA6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škrapy</w:t>
      </w:r>
      <w:proofErr w:type="spellEnd"/>
      <w:r w:rsidRPr="00FA6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Udržanie priaznivého stavu biotopu</w:t>
      </w:r>
      <w:r w:rsidRPr="00FA68E1">
        <w:rPr>
          <w:color w:val="000000"/>
        </w:rPr>
        <w:t xml:space="preserve"> Ls3.1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91H0*</w:t>
      </w:r>
      <w:r w:rsidRPr="00FA68E1">
        <w:rPr>
          <w:bCs w:val="0"/>
          <w:color w:val="000000"/>
          <w:shd w:val="clear" w:color="auto" w:fill="FFFFFF"/>
        </w:rPr>
        <w:t xml:space="preserve">) Teplomilné </w:t>
      </w:r>
      <w:proofErr w:type="spellStart"/>
      <w:r w:rsidRPr="00FA68E1">
        <w:rPr>
          <w:bCs w:val="0"/>
          <w:color w:val="000000"/>
          <w:shd w:val="clear" w:color="auto" w:fill="FFFFFF"/>
        </w:rPr>
        <w:t>submediteránne</w:t>
      </w:r>
      <w:proofErr w:type="spellEnd"/>
      <w:r w:rsidRPr="00FA68E1">
        <w:rPr>
          <w:bCs w:val="0"/>
          <w:color w:val="000000"/>
          <w:shd w:val="clear" w:color="auto" w:fill="FFFFFF"/>
        </w:rPr>
        <w:t xml:space="preserve"> dubové lesy </w:t>
      </w:r>
      <w:r w:rsidRPr="00FA68E1">
        <w:rPr>
          <w:b w:val="0"/>
          <w:color w:val="000000"/>
        </w:rPr>
        <w:t>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1432"/>
        <w:gridCol w:w="4121"/>
      </w:tblGrid>
      <w:tr w:rsidR="009B1F9D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9B1F9D" w:rsidRPr="00FA68E1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 biotopu v SKUEV0345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229,11 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9B1F9D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B1F9D" w:rsidRPr="00FA68E1" w:rsidRDefault="009B1F9D" w:rsidP="00EF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A.tataricum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10%,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1F9D" w:rsidRPr="00FA68E1" w:rsidRDefault="009B1F9D" w:rsidP="00EF3711">
            <w:pPr>
              <w:spacing w:line="27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a/alebo</w:t>
            </w:r>
            <w:r w:rsidRPr="00FA68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minimálne 30%)</w:t>
            </w:r>
          </w:p>
          <w:p w:rsidR="009B1F9D" w:rsidRPr="00FA68E1" w:rsidRDefault="009B1F9D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9B1F9D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michelii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Dictamnus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Feastuca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F.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pseudodalmatica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glaucum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Himantoglossum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adriaticum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Limodorum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abortivum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Lithospermum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purpurocaeruleum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melissophyllum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Ophrys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apifera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Orchis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Silene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epithymoides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B1F9D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 bylín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I.parviflora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Heracleum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mantegazzianum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9B1F9D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rovnomerne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Zabezpečenie prítomnosti odumretého dreva na ploche biotopu v danom objeme.</w:t>
            </w:r>
          </w:p>
        </w:tc>
      </w:tr>
    </w:tbl>
    <w:p w:rsidR="009B1F9D" w:rsidRPr="00FA68E1" w:rsidRDefault="009B1F9D" w:rsidP="009B1F9D">
      <w:pPr>
        <w:pStyle w:val="Zkladntext"/>
        <w:widowControl w:val="0"/>
        <w:jc w:val="left"/>
        <w:rPr>
          <w:b w:val="0"/>
          <w:color w:val="000000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>Zlepšenie stavu biotopu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Lk1 (6510) Nížinné a podhorské kosné lúky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5387"/>
      </w:tblGrid>
      <w:tr w:rsidR="009B1F9D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3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0,29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3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SKUEV3345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25,7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69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13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Avenula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Convolvulus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Dactylis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glomerata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rubra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Leucanthemum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Rumex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acetosa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Taraxacum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sect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Ruderalia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Tragopogon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orientalis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Trisetum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flavescens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9B1F9D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Pi5 (6110*) Pionierske porasty na plytkých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karbonátových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bázických substrátoch zväzu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Alysso-Sedion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albi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5387"/>
      </w:tblGrid>
      <w:tr w:rsidR="009B1F9D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233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tortuosum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pumilum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minima,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badensis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tridactylites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sexangulare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Teucryum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chamaedris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Thlaspi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perfoliatum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Valerianella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dentata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praecox</w:t>
            </w:r>
            <w:proofErr w:type="spellEnd"/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Bylinná etáž zapojená približne na 15%, krovinová  a drevinová etáž zapojená max. na 15%.</w:t>
            </w:r>
          </w:p>
        </w:tc>
      </w:tr>
      <w:tr w:rsidR="009B1F9D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  <w:sz w:val="20"/>
          <w:szCs w:val="20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-bylinné a krovinové porasty na vápnitom substráte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9B1F9D" w:rsidRPr="00FA68E1" w:rsidTr="00EF3711">
        <w:trPr>
          <w:trHeight w:val="305"/>
        </w:trPr>
        <w:tc>
          <w:tcPr>
            <w:tcW w:w="1702" w:type="dxa"/>
            <w:shd w:val="clear" w:color="auto" w:fill="FFFFFF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FFFFFF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308"/>
        </w:trPr>
        <w:tc>
          <w:tcPr>
            <w:tcW w:w="1702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307"/>
        </w:trPr>
        <w:tc>
          <w:tcPr>
            <w:tcW w:w="1702" w:type="dxa"/>
            <w:shd w:val="clear" w:color="auto" w:fill="FFFFFF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SKUEV3345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68,47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2900"/>
        </w:trPr>
        <w:tc>
          <w:tcPr>
            <w:tcW w:w="1702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Briza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erectus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heptaphylla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9B1F9D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alebo inváznych druhov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Tr2 (6240*)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Subpanónske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travinnobylinné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275"/>
        <w:gridCol w:w="1276"/>
        <w:gridCol w:w="5196"/>
      </w:tblGrid>
      <w:tr w:rsidR="009B1F9D" w:rsidRPr="00FA68E1" w:rsidTr="00EF3711">
        <w:trPr>
          <w:trHeight w:val="705"/>
        </w:trPr>
        <w:tc>
          <w:tcPr>
            <w:tcW w:w="1799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76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308"/>
        </w:trPr>
        <w:tc>
          <w:tcPr>
            <w:tcW w:w="1799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9B1F9D" w:rsidRPr="00FA68E1" w:rsidTr="00EF3711">
        <w:trPr>
          <w:trHeight w:val="307"/>
        </w:trPr>
        <w:tc>
          <w:tcPr>
            <w:tcW w:w="1799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SKUEV3345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1,42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563"/>
        </w:trPr>
        <w:tc>
          <w:tcPr>
            <w:tcW w:w="1799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Adonis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vernalis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9B1F9D" w:rsidRPr="00FA68E1" w:rsidTr="00EF3711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9B1F9D" w:rsidRPr="00FA68E1" w:rsidTr="00EF3711">
        <w:trPr>
          <w:trHeight w:val="404"/>
        </w:trPr>
        <w:tc>
          <w:tcPr>
            <w:tcW w:w="1799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Tr5 (6190)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Dealpínske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travinnobylinné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porasty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275"/>
        <w:gridCol w:w="1276"/>
        <w:gridCol w:w="5247"/>
      </w:tblGrid>
      <w:tr w:rsidR="009B1F9D" w:rsidRPr="00FA68E1" w:rsidTr="00EF3711">
        <w:trPr>
          <w:trHeight w:val="2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3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SKUEV3345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140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počet druhov/16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najmenej 10 druhov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sibirica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pulcherrima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lychnitis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austriaca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B1F9D" w:rsidRPr="00FA68E1" w:rsidTr="00EF3711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9B1F9D" w:rsidRPr="00FA68E1" w:rsidTr="00EF3711">
        <w:trPr>
          <w:trHeight w:val="8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pokrytia/25 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  <w:sz w:val="20"/>
          <w:szCs w:val="20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Kr6 (40A0*)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Xerotermné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kroviny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1249"/>
        <w:gridCol w:w="1364"/>
        <w:gridCol w:w="4254"/>
      </w:tblGrid>
      <w:tr w:rsidR="009B1F9D" w:rsidRPr="00FA68E1" w:rsidTr="00EF3711">
        <w:trPr>
          <w:trHeight w:val="705"/>
        </w:trPr>
        <w:tc>
          <w:tcPr>
            <w:tcW w:w="2775" w:type="dxa"/>
            <w:shd w:val="clear" w:color="auto" w:fill="FFFFFF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49" w:type="dxa"/>
            <w:shd w:val="clear" w:color="auto" w:fill="FFFFFF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364" w:type="dxa"/>
            <w:shd w:val="clear" w:color="auto" w:fill="FFFFFF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4" w:type="dxa"/>
            <w:shd w:val="clear" w:color="auto" w:fill="FFFFFF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290"/>
        </w:trPr>
        <w:tc>
          <w:tcPr>
            <w:tcW w:w="2775" w:type="dxa"/>
            <w:shd w:val="clear" w:color="auto" w:fill="FFFFFF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364" w:type="dxa"/>
            <w:shd w:val="clear" w:color="auto" w:fill="FFFFFF"/>
            <w:vAlign w:val="bottom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1,44</w:t>
            </w:r>
          </w:p>
        </w:tc>
        <w:tc>
          <w:tcPr>
            <w:tcW w:w="4254" w:type="dxa"/>
            <w:shd w:val="clear" w:color="auto" w:fill="FFFFFF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699"/>
        </w:trPr>
        <w:tc>
          <w:tcPr>
            <w:tcW w:w="2775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64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anthora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Amygdalus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turrita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humili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fruticosa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Crataegus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monogyna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triumfettii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Euonymus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verrucosus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album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Ligustrum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canina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pimpinellifolia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Spiraea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Waldsteinia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geoides</w:t>
            </w:r>
            <w:proofErr w:type="spellEnd"/>
          </w:p>
        </w:tc>
      </w:tr>
      <w:tr w:rsidR="009B1F9D" w:rsidRPr="00FA68E1" w:rsidTr="00EF3711">
        <w:trPr>
          <w:trHeight w:val="290"/>
        </w:trPr>
        <w:tc>
          <w:tcPr>
            <w:tcW w:w="2775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1364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9B1F9D" w:rsidRPr="00FA68E1" w:rsidTr="00EF3711">
        <w:trPr>
          <w:trHeight w:val="850"/>
        </w:trPr>
        <w:tc>
          <w:tcPr>
            <w:tcW w:w="2775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64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254" w:type="dxa"/>
            <w:shd w:val="clear" w:color="auto" w:fill="FFFFFF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  <w:sz w:val="20"/>
          <w:szCs w:val="20"/>
        </w:rPr>
      </w:pPr>
    </w:p>
    <w:p w:rsidR="009B1F9D" w:rsidRPr="00FA68E1" w:rsidRDefault="009B1F9D" w:rsidP="009B1F9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druhu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Kr2 (5130) Porasty borievky obyčajnej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8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251"/>
        <w:gridCol w:w="874"/>
        <w:gridCol w:w="4867"/>
      </w:tblGrid>
      <w:tr w:rsidR="009B1F9D" w:rsidRPr="00FA68E1" w:rsidTr="00EF3711">
        <w:trPr>
          <w:trHeight w:val="705"/>
        </w:trPr>
        <w:tc>
          <w:tcPr>
            <w:tcW w:w="2865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874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867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290"/>
        </w:trPr>
        <w:tc>
          <w:tcPr>
            <w:tcW w:w="2865" w:type="dxa"/>
            <w:shd w:val="clear" w:color="auto" w:fill="auto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5,99</w:t>
            </w:r>
          </w:p>
        </w:tc>
        <w:tc>
          <w:tcPr>
            <w:tcW w:w="4867" w:type="dxa"/>
            <w:shd w:val="clear" w:color="auto" w:fill="auto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2320"/>
        </w:trPr>
        <w:tc>
          <w:tcPr>
            <w:tcW w:w="2865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Agrimonia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eupatoria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Achillea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millefolium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Anthyllis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vulneraria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Asperula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cynanchica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Berberis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Brachypodium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pinnatum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Briza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Bromus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erectus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humilis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acaulis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Dianthus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carthusianorum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valesiaca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Genista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tinctoria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perforatum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Juniperus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communis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hispidus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heptaphylla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Salvia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S.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verticillata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ochroleuca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Teucrium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</w:p>
        </w:tc>
      </w:tr>
      <w:tr w:rsidR="009B1F9D" w:rsidRPr="00FA68E1" w:rsidTr="00EF3711">
        <w:trPr>
          <w:trHeight w:val="870"/>
        </w:trPr>
        <w:tc>
          <w:tcPr>
            <w:tcW w:w="2865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– 70 %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Stredne až husto zapojené porasty borievky obyčajnej, ktoré sa vytvorili na opustených pasienkoch alebo na extenzívne pasených plochách. </w:t>
            </w:r>
          </w:p>
        </w:tc>
      </w:tr>
      <w:tr w:rsidR="009B1F9D" w:rsidRPr="00FA68E1" w:rsidTr="00EF3711">
        <w:trPr>
          <w:trHeight w:val="850"/>
        </w:trPr>
        <w:tc>
          <w:tcPr>
            <w:tcW w:w="2865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nepôvodných invázne sa správajúcich druhov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</w:tr>
    </w:tbl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1F9D" w:rsidRPr="00FA68E1" w:rsidRDefault="009B1F9D" w:rsidP="009B1F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Sk1 (8210)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steny a svahy so štrbinovou vegetáciou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9B1F9D" w:rsidRPr="00FA68E1" w:rsidTr="00EF3711">
        <w:trPr>
          <w:trHeight w:val="482"/>
        </w:trPr>
        <w:tc>
          <w:tcPr>
            <w:tcW w:w="1702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Charakteristické/typické druhové zloženie: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ruta-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muraria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trichomanes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carpatica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Mycelis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Phyllitis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scolopendrium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Polypodium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Primula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auricula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skalných útvaroch.</w:t>
            </w:r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9B1F9D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Sk8 (8310)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Nesprístupnené jaskynné útvary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9B1F9D" w:rsidRPr="00FA68E1" w:rsidTr="00EF3711">
        <w:trPr>
          <w:trHeight w:val="448"/>
        </w:trPr>
        <w:tc>
          <w:tcPr>
            <w:tcW w:w="1702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biotopu, bez poškodení vstupov do jaskynných priestorov. </w:t>
            </w:r>
          </w:p>
        </w:tc>
      </w:tr>
      <w:tr w:rsidR="009B1F9D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Neprístupnosť biotopu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osôb/mesiac/</w:t>
            </w:r>
          </w:p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jaskynný útvar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Minimálna až žiadna návštevnosť lokalít (výlučne za účelom prieskumu).</w:t>
            </w:r>
          </w:p>
        </w:tc>
      </w:tr>
    </w:tbl>
    <w:p w:rsidR="009B1F9D" w:rsidRPr="00FA68E1" w:rsidRDefault="009B1F9D" w:rsidP="009B1F9D">
      <w:pPr>
        <w:pStyle w:val="Zkladntext"/>
        <w:widowControl w:val="0"/>
        <w:jc w:val="left"/>
        <w:rPr>
          <w:b w:val="0"/>
        </w:rPr>
      </w:pPr>
    </w:p>
    <w:p w:rsidR="009B1F9D" w:rsidRPr="00FA68E1" w:rsidRDefault="009B1F9D" w:rsidP="009B1F9D">
      <w:pPr>
        <w:pStyle w:val="Zkladntext"/>
        <w:widowControl w:val="0"/>
        <w:jc w:val="left"/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Pulsatilla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grandis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7"/>
        <w:gridCol w:w="1483"/>
        <w:gridCol w:w="1320"/>
        <w:gridCol w:w="5335"/>
      </w:tblGrid>
      <w:tr w:rsidR="009B1F9D" w:rsidRPr="00FA68E1" w:rsidTr="00EF3711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9B1F9D" w:rsidRPr="00FA68E1" w:rsidTr="00EF3711">
        <w:trPr>
          <w:trHeight w:val="42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40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Zvýšenie populácie druhu zo súčasných 5 až 25 jedincov, na min. 40 jedincov.</w:t>
            </w:r>
          </w:p>
        </w:tc>
      </w:tr>
      <w:tr w:rsidR="009B1F9D" w:rsidRPr="00FA68E1" w:rsidTr="00EF3711">
        <w:trPr>
          <w:trHeight w:val="42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SKUEV3345</w:t>
            </w:r>
          </w:p>
        </w:tc>
        <w:tc>
          <w:tcPr>
            <w:tcW w:w="1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1500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Zachovanie súčasnej populácie druhu,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ktorá sa vyskytuje v intervale 1500 až 2500 jedincov.</w:t>
            </w:r>
          </w:p>
        </w:tc>
      </w:tr>
      <w:tr w:rsidR="009B1F9D" w:rsidRPr="00FA68E1" w:rsidTr="00EF3711">
        <w:trPr>
          <w:trHeight w:val="28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9B1F9D" w:rsidRPr="00FA68E1" w:rsidTr="00EF3711">
        <w:trPr>
          <w:trHeight w:val="93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Genista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tinctoria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Hippocrepis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9B1F9D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9B1F9D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0 %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pStyle w:val="Zkladntext"/>
        <w:widowControl w:val="0"/>
        <w:jc w:val="left"/>
        <w:rPr>
          <w:b w:val="0"/>
        </w:rPr>
      </w:pPr>
      <w:r w:rsidRPr="00FA68E1">
        <w:rPr>
          <w:b w:val="0"/>
        </w:rPr>
        <w:t xml:space="preserve">Zachovanie priaznivého stavu druhu </w:t>
      </w:r>
      <w:proofErr w:type="spellStart"/>
      <w:r w:rsidRPr="00FA68E1">
        <w:rPr>
          <w:i/>
        </w:rPr>
        <w:t>Sadleriana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pannonica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p w:rsidR="009B1F9D" w:rsidRPr="00FA68E1" w:rsidRDefault="009B1F9D" w:rsidP="009B1F9D">
      <w:pPr>
        <w:pStyle w:val="Zkladntext"/>
        <w:widowControl w:val="0"/>
        <w:jc w:val="left"/>
        <w:rPr>
          <w:b w:val="0"/>
          <w:color w:val="000000"/>
        </w:rPr>
      </w:pPr>
    </w:p>
    <w:tbl>
      <w:tblPr>
        <w:tblW w:w="5378" w:type="pct"/>
        <w:tblInd w:w="-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300"/>
        <w:gridCol w:w="1780"/>
        <w:gridCol w:w="5310"/>
      </w:tblGrid>
      <w:tr w:rsidR="009B1F9D" w:rsidRPr="00FA68E1" w:rsidTr="00EF3711">
        <w:trPr>
          <w:trHeight w:val="3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3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100 000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Neznížená hodnota veľkosti populácie v území, v súčasnosti sa pohybuje od 100 000 do 150 000 jedincov.</w:t>
            </w:r>
          </w:p>
        </w:tc>
      </w:tr>
      <w:tr w:rsidR="009B1F9D" w:rsidRPr="00FA68E1" w:rsidTr="00EF3711">
        <w:trPr>
          <w:trHeight w:val="1307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populácie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priemer populácie na trvalej monitorovacej ploche v rozsahu 1000 jedincov na lokalite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vo vzorke na monitorovacej lokalite</w:t>
            </w:r>
          </w:p>
        </w:tc>
      </w:tr>
      <w:tr w:rsidR="009B1F9D" w:rsidRPr="00FA68E1" w:rsidTr="00EF3711">
        <w:trPr>
          <w:trHeight w:val="1307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biotopu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0,5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biotop druhu na minimálnej výmere 0,5 ha</w:t>
            </w:r>
          </w:p>
        </w:tc>
      </w:tr>
    </w:tbl>
    <w:p w:rsidR="009B1F9D" w:rsidRPr="00FA68E1" w:rsidRDefault="009B1F9D" w:rsidP="009B1F9D">
      <w:pPr>
        <w:pStyle w:val="Zkladntext"/>
        <w:widowControl w:val="0"/>
        <w:jc w:val="left"/>
        <w:rPr>
          <w:b w:val="0"/>
          <w:color w:val="000000"/>
        </w:rPr>
      </w:pPr>
    </w:p>
    <w:p w:rsidR="009B1F9D" w:rsidRPr="00FA68E1" w:rsidRDefault="009B1F9D" w:rsidP="009B1F9D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Zachovanie stavu druhu </w:t>
      </w:r>
      <w:proofErr w:type="spellStart"/>
      <w:r w:rsidRPr="00FA68E1">
        <w:rPr>
          <w:i/>
        </w:rPr>
        <w:t>Stenobothrus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eurasius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15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937"/>
        <w:gridCol w:w="1485"/>
        <w:gridCol w:w="3895"/>
      </w:tblGrid>
      <w:tr w:rsidR="009B1F9D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2000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odhoduje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na  2000 až 10000 jedincov, je to stabilná populácia druhu v území</w:t>
            </w:r>
          </w:p>
        </w:tc>
      </w:tr>
      <w:tr w:rsidR="009B1F9D" w:rsidRPr="00FA68E1" w:rsidTr="00EF3711">
        <w:trPr>
          <w:trHeight w:val="62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udržanie výmery biotopu druhu na 15 ha</w:t>
            </w:r>
          </w:p>
        </w:tc>
      </w:tr>
      <w:tr w:rsidR="009B1F9D" w:rsidRPr="00FA68E1" w:rsidTr="00EF3711">
        <w:trPr>
          <w:trHeight w:val="9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Zachovalá štruktúra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xerotermných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lesostepí, ich okrajov, príp. s extenzívnym obhospodarovaním pastvou alebo kosením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A68E1">
        <w:rPr>
          <w:rFonts w:ascii="Times New Roman" w:hAnsi="Times New Roman" w:cs="Times New Roman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</w:rPr>
        <w:t>Euplagia</w:t>
      </w:r>
      <w:proofErr w:type="spellEnd"/>
      <w:r w:rsidRPr="00FA68E1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Pr="00FA68E1">
        <w:rPr>
          <w:rFonts w:ascii="Times New Roman" w:hAnsi="Times New Roman" w:cs="Times New Roman"/>
          <w:b/>
          <w:i/>
          <w:szCs w:val="24"/>
        </w:rPr>
        <w:t>Callimorpha</w:t>
      </w:r>
      <w:proofErr w:type="spellEnd"/>
      <w:r w:rsidRPr="00FA68E1">
        <w:rPr>
          <w:rFonts w:ascii="Times New Roman" w:hAnsi="Times New Roman" w:cs="Times New Roman"/>
          <w:b/>
          <w:i/>
          <w:szCs w:val="24"/>
        </w:rPr>
        <w:t xml:space="preserve">) </w:t>
      </w:r>
      <w:proofErr w:type="spellStart"/>
      <w:r w:rsidRPr="00FA68E1">
        <w:rPr>
          <w:rFonts w:ascii="Times New Roman" w:hAnsi="Times New Roman" w:cs="Times New Roman"/>
          <w:b/>
          <w:i/>
          <w:szCs w:val="24"/>
        </w:rPr>
        <w:t>quadripunctaria</w:t>
      </w:r>
      <w:proofErr w:type="spellEnd"/>
      <w:r w:rsidRPr="00FA68E1">
        <w:rPr>
          <w:rFonts w:ascii="Times New Roman" w:hAnsi="Times New Roman" w:cs="Times New Roman"/>
          <w:szCs w:val="24"/>
        </w:rPr>
        <w:t xml:space="preserve"> za splnenia nasledovných atribútov</w:t>
      </w:r>
      <w:r w:rsidRPr="00FA68E1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tbl>
      <w:tblPr>
        <w:tblW w:w="957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138"/>
        <w:gridCol w:w="1556"/>
        <w:gridCol w:w="4252"/>
      </w:tblGrid>
      <w:tr w:rsidR="009B1F9D" w:rsidRPr="00FA68E1" w:rsidTr="00EF3711">
        <w:trPr>
          <w:trHeight w:val="531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Doplnkové informácie</w:t>
            </w:r>
          </w:p>
        </w:tc>
      </w:tr>
      <w:tr w:rsidR="009B1F9D" w:rsidRPr="00FA68E1" w:rsidTr="00EF3711">
        <w:trPr>
          <w:trHeight w:val="55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Veľkosť populácie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 SKUEV0345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V súčasnosti sa odhaduje veľkosť populácie na  100 – 1000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aktuály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údaj / z SDF) </w:t>
            </w:r>
          </w:p>
        </w:tc>
      </w:tr>
      <w:tr w:rsidR="009B1F9D" w:rsidRPr="00FA68E1" w:rsidTr="00EF3711">
        <w:trPr>
          <w:trHeight w:val="751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riedke lesy, lesné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ekotony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lesostepné a krovinaté biotopy; zachovať členité  lesné porasty s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núzkym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zápojom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svetlín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ekotonov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, výrub náletových drevín a krov</w:t>
            </w:r>
          </w:p>
        </w:tc>
      </w:tr>
      <w:tr w:rsidR="009B1F9D" w:rsidRPr="00FA68E1" w:rsidTr="00EF3711">
        <w:trPr>
          <w:trHeight w:val="95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Sambucus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ebulus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Eupatorium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cannabinum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Origanum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i.)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pokryvnosť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min. 5 %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Výskyt medonosných druhov – na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pokryvnosti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biotopu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9B1F9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zaznamenaný výskyt 0 - 1 jedincov v rámci celého ÚEV na zimoviskách.</w:t>
            </w:r>
          </w:p>
        </w:tc>
      </w:tr>
      <w:tr w:rsidR="009B1F9D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zimovisko uvedeného druhu.</w:t>
            </w:r>
          </w:p>
        </w:tc>
      </w:tr>
      <w:tr w:rsidR="009B1F9D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poskytujú potravné biotopy pre daný druh netopiera.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9B1F9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zaznamenaný výskyt 0 - 6 jedincov v rámci celého ÚEV na zimoviskách.</w:t>
            </w:r>
          </w:p>
        </w:tc>
      </w:tr>
      <w:tr w:rsidR="009B1F9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zimovisko uvedeného druhu.</w:t>
            </w:r>
          </w:p>
        </w:tc>
      </w:tr>
      <w:tr w:rsidR="009B1F9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poskytujú potravné biotopy pre daný druh netopiera.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9B1F9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zaznamenaný výskyt 0 - 6 jedincov v rámci celého ÚEV na zimoviskách.</w:t>
            </w:r>
          </w:p>
        </w:tc>
      </w:tr>
      <w:tr w:rsidR="009B1F9D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zimovisko uvedeného druhu.</w:t>
            </w:r>
          </w:p>
        </w:tc>
      </w:tr>
      <w:tr w:rsidR="009B1F9D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poskytujú potravné biotopy pre daný druh netopiera.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9B1F9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rozmnožovanie v lesných biotopoch v počte 40-50 jedincov v rámci celého ÚEV.</w:t>
            </w:r>
          </w:p>
        </w:tc>
      </w:tr>
      <w:tr w:rsidR="009B1F9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neevidujeme žiadne známe zimovisko uvedeného druhu.</w:t>
            </w:r>
          </w:p>
        </w:tc>
      </w:tr>
      <w:tr w:rsidR="009B1F9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100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9B1F9D" w:rsidRPr="00FA68E1" w:rsidRDefault="009B1F9D" w:rsidP="009B1F9D">
      <w:pPr>
        <w:pStyle w:val="Zkladntext"/>
        <w:widowControl w:val="0"/>
        <w:jc w:val="left"/>
        <w:rPr>
          <w:b w:val="0"/>
          <w:color w:val="000000"/>
        </w:rPr>
      </w:pPr>
    </w:p>
    <w:p w:rsidR="009B1F9D" w:rsidRPr="00FA68E1" w:rsidRDefault="009B1F9D" w:rsidP="009B1F9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>blythii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06"/>
        <w:gridCol w:w="1418"/>
        <w:gridCol w:w="2189"/>
        <w:gridCol w:w="4111"/>
      </w:tblGrid>
      <w:tr w:rsidR="009B1F9D" w:rsidRPr="00FA68E1" w:rsidTr="00EF3711">
        <w:trPr>
          <w:trHeight w:val="35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27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1 až 10 jedincov v rámci celého ÚEV na zimoviskách.</w:t>
            </w:r>
          </w:p>
        </w:tc>
      </w:tr>
      <w:tr w:rsidR="009B1F9D" w:rsidRPr="00FA68E1" w:rsidTr="00EF3711">
        <w:trPr>
          <w:trHeight w:val="93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neevidujeme žiadne známe  zimovisko uvedeného druhu.</w:t>
            </w:r>
          </w:p>
        </w:tc>
      </w:tr>
      <w:tr w:rsidR="009B1F9D" w:rsidRPr="00FA68E1" w:rsidTr="00EF3711">
        <w:trPr>
          <w:trHeight w:val="93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poskytujú potravné biotopy pre daný druh netopiera.</w:t>
            </w:r>
          </w:p>
        </w:tc>
      </w:tr>
    </w:tbl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emarginatus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153" w:type="pct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5"/>
        <w:gridCol w:w="1410"/>
        <w:gridCol w:w="1674"/>
        <w:gridCol w:w="4160"/>
      </w:tblGrid>
      <w:tr w:rsidR="009B1F9D" w:rsidRPr="00FA68E1" w:rsidTr="00EF3711">
        <w:trPr>
          <w:trHeight w:val="35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27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 súčasnosti je evidovaný len náhodný výskyt od 0 do 20 jedincov v rámci celého ÚEV.</w:t>
            </w:r>
          </w:p>
        </w:tc>
      </w:tr>
      <w:tr w:rsidR="009B1F9D" w:rsidRPr="00FA68E1" w:rsidTr="00EF3711">
        <w:trPr>
          <w:trHeight w:val="930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potravného (lovného) biotopu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poskytujú potravné biotopy pre daný druh netopiera.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>Miniopterus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>schreibersii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64"/>
        <w:gridCol w:w="1418"/>
        <w:gridCol w:w="2189"/>
        <w:gridCol w:w="4111"/>
      </w:tblGrid>
      <w:tr w:rsidR="009B1F9D" w:rsidRPr="00FA68E1" w:rsidTr="00EF3711">
        <w:trPr>
          <w:trHeight w:val="35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27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zaznamenanie 0 až 20 jedincov v rámci celého ÚEV.</w:t>
            </w:r>
          </w:p>
        </w:tc>
      </w:tr>
      <w:tr w:rsidR="009B1F9D" w:rsidRPr="00FA68E1" w:rsidTr="00EF3711">
        <w:trPr>
          <w:trHeight w:val="93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neevidujeme žiadne známe  zimovisko uvedeného druhu.</w:t>
            </w:r>
          </w:p>
        </w:tc>
      </w:tr>
      <w:tr w:rsidR="009B1F9D" w:rsidRPr="00FA68E1" w:rsidTr="00EF3711">
        <w:trPr>
          <w:trHeight w:val="9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F9D" w:rsidRPr="00FA68E1" w:rsidRDefault="009B1F9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poskytujú potravné biotopy pre daný druh netopiera.</w:t>
            </w:r>
          </w:p>
        </w:tc>
      </w:tr>
    </w:tbl>
    <w:p w:rsidR="009B1F9D" w:rsidRPr="00FA68E1" w:rsidRDefault="009B1F9D" w:rsidP="009B1F9D">
      <w:pPr>
        <w:pStyle w:val="Zkladntext"/>
        <w:widowControl w:val="0"/>
        <w:spacing w:after="120"/>
        <w:jc w:val="both"/>
        <w:rPr>
          <w:b w:val="0"/>
        </w:rPr>
      </w:pP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9B1F9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rozmnožovanie v lesných biotopoch v počte 40-50 jedincov v rámci celého ÚEV.</w:t>
            </w:r>
          </w:p>
        </w:tc>
      </w:tr>
      <w:tr w:rsidR="009B1F9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zimovisko uvedeného druhu.</w:t>
            </w:r>
          </w:p>
        </w:tc>
      </w:tr>
      <w:tr w:rsidR="009B1F9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9B1F9D" w:rsidRPr="00FA68E1" w:rsidRDefault="009B1F9D" w:rsidP="009B1F9D">
      <w:pPr>
        <w:rPr>
          <w:rFonts w:ascii="Times New Roman" w:hAnsi="Times New Roman" w:cs="Times New Roman"/>
        </w:rPr>
      </w:pPr>
    </w:p>
    <w:p w:rsidR="009B1F9D" w:rsidRPr="00FA68E1" w:rsidRDefault="009B1F9D" w:rsidP="009B1F9D">
      <w:pPr>
        <w:pStyle w:val="Zkladntext"/>
        <w:widowControl w:val="0"/>
        <w:spacing w:after="120"/>
        <w:jc w:val="both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Spermophilus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citellus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378" w:type="pct"/>
        <w:tblInd w:w="-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315"/>
        <w:gridCol w:w="1765"/>
        <w:gridCol w:w="5310"/>
      </w:tblGrid>
      <w:tr w:rsidR="009B1F9D" w:rsidRPr="00FA68E1" w:rsidTr="00EF3711">
        <w:trPr>
          <w:trHeight w:val="31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428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300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Zvýšiť veľkosť populácie v území, v súčasnosti od 20 – 100 jedincov.</w:t>
            </w:r>
          </w:p>
        </w:tc>
      </w:tr>
      <w:tr w:rsidR="009B1F9D" w:rsidRPr="00FA68E1" w:rsidTr="00EF3711">
        <w:trPr>
          <w:trHeight w:val="427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SKUEV3345</w:t>
            </w: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30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Zvýšiť veľkosť populácie v území, v súčasnosti od 10 – 30 jedincov.</w:t>
            </w:r>
          </w:p>
        </w:tc>
      </w:tr>
      <w:tr w:rsidR="009B1F9D" w:rsidRPr="00FA68E1" w:rsidTr="00EF3711">
        <w:trPr>
          <w:trHeight w:val="1307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biotopu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50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biotop druhu na minimálnej výmere 50 ha</w:t>
            </w:r>
          </w:p>
        </w:tc>
      </w:tr>
      <w:tr w:rsidR="009B1F9D" w:rsidRPr="00FA68E1" w:rsidTr="00EF3711">
        <w:trPr>
          <w:trHeight w:val="1307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Výška trávneho porastu cm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Nepresahuje 30 cm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F9D" w:rsidRPr="00FA68E1" w:rsidRDefault="009B1F9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Intenzívne využívané lúčne porasty pastvou</w:t>
            </w:r>
          </w:p>
        </w:tc>
      </w:tr>
    </w:tbl>
    <w:p w:rsidR="009B1F9D" w:rsidRPr="00FA68E1" w:rsidRDefault="009B1F9D" w:rsidP="009B1F9D">
      <w:pPr>
        <w:pStyle w:val="Zkladntext"/>
        <w:widowControl w:val="0"/>
        <w:spacing w:after="120"/>
        <w:jc w:val="both"/>
        <w:rPr>
          <w:b w:val="0"/>
          <w:i/>
        </w:rPr>
      </w:pPr>
    </w:p>
    <w:p w:rsidR="009B1F9D" w:rsidRPr="00FA68E1" w:rsidRDefault="009B1F9D" w:rsidP="009B1F9D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9B1F9D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B1F9D" w:rsidRPr="00FA68E1" w:rsidTr="00EF3711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 SKUEV0345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Minimálny počet 5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Odhadnutý počet jedincov v súčasnosti do 1 jedincov, potrebné zvýšenie početnosti populácie.</w:t>
            </w:r>
          </w:p>
        </w:tc>
      </w:tr>
      <w:tr w:rsidR="009B1F9D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Celé UEV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teritória 1 exemplára je väčšia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ako celá výmera UEV. Zabezpečiť rozšírenie územia.</w:t>
            </w:r>
          </w:p>
        </w:tc>
      </w:tr>
      <w:tr w:rsidR="009B1F9D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Podiel lesov starších ako 60 rokov (%)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Minimálny podiel 70% </w:t>
            </w:r>
          </w:p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Lesy dôležité pre trvalú existenciu druhu, ktoré poskytujú potravné ale aj úkrytové možnosti druhu. </w:t>
            </w:r>
          </w:p>
        </w:tc>
      </w:tr>
      <w:tr w:rsidR="009B1F9D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Zachované migračné koridory v území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1F9D" w:rsidRPr="00FA68E1" w:rsidRDefault="009B1F9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Umožnené prepojenie populácií s UEV Plešivské stráne</w:t>
            </w:r>
          </w:p>
        </w:tc>
      </w:tr>
    </w:tbl>
    <w:p w:rsidR="009B1F9D" w:rsidRPr="00FA68E1" w:rsidRDefault="009B1F9D" w:rsidP="009B1F9D">
      <w:pPr>
        <w:pStyle w:val="Zkladntext"/>
        <w:widowControl w:val="0"/>
        <w:spacing w:after="12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9B1F9D" w:rsidRPr="00FA68E1" w:rsidRDefault="009B1F9D" w:rsidP="009B1F9D">
      <w:pPr>
        <w:pStyle w:val="Zkladntext"/>
        <w:widowControl w:val="0"/>
        <w:spacing w:after="12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9B1F9D" w:rsidRPr="00FA68E1" w:rsidRDefault="009B1F9D" w:rsidP="009B1F9D">
      <w:pPr>
        <w:pStyle w:val="Zkladntext"/>
        <w:widowControl w:val="0"/>
        <w:spacing w:after="120"/>
        <w:jc w:val="both"/>
        <w:rPr>
          <w:b w:val="0"/>
        </w:rPr>
      </w:pPr>
      <w:r w:rsidRPr="00FA68E1">
        <w:rPr>
          <w:b w:val="0"/>
        </w:rPr>
        <w:t xml:space="preserve">Ciele pre druh </w:t>
      </w:r>
      <w:proofErr w:type="spellStart"/>
      <w:r w:rsidRPr="00FA68E1">
        <w:rPr>
          <w:i/>
        </w:rPr>
        <w:t>Canis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lupus</w:t>
      </w:r>
      <w:proofErr w:type="spellEnd"/>
      <w:r w:rsidRPr="00FA68E1">
        <w:rPr>
          <w:b w:val="0"/>
          <w:i/>
        </w:rPr>
        <w:t xml:space="preserve"> </w:t>
      </w:r>
      <w:r w:rsidRPr="00FA68E1">
        <w:rPr>
          <w:b w:val="0"/>
        </w:rPr>
        <w:t>sa nestanovujú, nakoľko má v území len marginálny výskyt.</w:t>
      </w:r>
    </w:p>
    <w:p w:rsidR="009B1F9D" w:rsidRPr="00FA68E1" w:rsidRDefault="009B1F9D" w:rsidP="009B1F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b/>
        </w:rPr>
        <w:br w:type="page"/>
      </w:r>
      <w:bookmarkStart w:id="0" w:name="_GoBack"/>
      <w:bookmarkEnd w:id="0"/>
      <w:r w:rsidRPr="00FA68E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9D"/>
    <w:rsid w:val="004F7434"/>
    <w:rsid w:val="009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0501"/>
  <w15:chartTrackingRefBased/>
  <w15:docId w15:val="{F1B47D6A-CBEE-4080-987A-33DE0DDC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1F9D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B1F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B1F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9B1F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9B1F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riadkovania">
    <w:name w:val="No Spacing"/>
    <w:uiPriority w:val="1"/>
    <w:qFormat/>
    <w:rsid w:val="009B1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2023-01-10T13:59:00Z</dcterms:created>
  <dcterms:modified xsi:type="dcterms:W3CDTF">2023-01-10T14:00:00Z</dcterms:modified>
</cp:coreProperties>
</file>