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20" w:rsidRPr="008E0720" w:rsidRDefault="008E0720" w:rsidP="008E0720">
      <w:pPr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8E0720">
        <w:rPr>
          <w:rFonts w:ascii="Times New Roman" w:hAnsi="Times New Roman" w:cs="Times New Roman"/>
          <w:b/>
          <w:sz w:val="28"/>
          <w:szCs w:val="28"/>
        </w:rPr>
        <w:t xml:space="preserve">iele ochrany </w:t>
      </w:r>
      <w:r w:rsidRPr="008E0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SKUEV0341 Dolný vrch</w:t>
      </w:r>
    </w:p>
    <w:p w:rsidR="008E0720" w:rsidRDefault="008E0720" w:rsidP="008E0720">
      <w:pPr>
        <w:pStyle w:val="Zkladntext"/>
        <w:widowControl w:val="0"/>
        <w:jc w:val="left"/>
        <w:rPr>
          <w:b w:val="0"/>
          <w:color w:val="000000"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Ls5.1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9130</w:t>
      </w:r>
      <w:r w:rsidRPr="00FA68E1">
        <w:rPr>
          <w:bCs w:val="0"/>
          <w:color w:val="000000"/>
          <w:shd w:val="clear" w:color="auto" w:fill="FFFFFF"/>
        </w:rPr>
        <w:t>) Bukové a jedľovo-bukové kvetnaté lesy</w:t>
      </w:r>
      <w:r w:rsidRPr="00FA68E1">
        <w:rPr>
          <w:b w:val="0"/>
          <w:color w:val="000000"/>
        </w:rPr>
        <w:t xml:space="preserve"> 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  <w:gridCol w:w="1134"/>
        <w:gridCol w:w="5128"/>
      </w:tblGrid>
      <w:tr w:rsidR="008E0720" w:rsidRPr="00FA68E1" w:rsidTr="00EF3711">
        <w:trPr>
          <w:jc w:val="center"/>
        </w:trPr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E0720" w:rsidRPr="00FA68E1" w:rsidTr="00EF3711">
        <w:trPr>
          <w:trHeight w:val="275"/>
          <w:jc w:val="center"/>
        </w:trPr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8E07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existujúcej výmery biotopu v ÚEV. </w:t>
            </w:r>
          </w:p>
        </w:tc>
      </w:tr>
      <w:tr w:rsidR="008E0720" w:rsidRPr="00FA68E1" w:rsidTr="00EF3711">
        <w:trPr>
          <w:trHeight w:val="179"/>
          <w:jc w:val="center"/>
        </w:trPr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8E0720" w:rsidRPr="00FA68E1" w:rsidRDefault="008E0720" w:rsidP="00EF3711">
            <w:pPr>
              <w:widowControl w:val="0"/>
              <w:tabs>
                <w:tab w:val="left" w:pos="1323"/>
                <w:tab w:val="left" w:pos="3302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720" w:rsidRPr="00FA68E1" w:rsidRDefault="008E0720" w:rsidP="00EF3711">
            <w:pPr>
              <w:widowControl w:val="0"/>
              <w:tabs>
                <w:tab w:val="left" w:pos="1323"/>
                <w:tab w:val="left" w:pos="3302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720" w:rsidRPr="00FA68E1" w:rsidRDefault="008E0720" w:rsidP="00EF3711">
            <w:pPr>
              <w:tabs>
                <w:tab w:val="left" w:pos="33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40%)</w:t>
            </w:r>
          </w:p>
        </w:tc>
      </w:tr>
      <w:tr w:rsidR="008E0720" w:rsidRPr="00FA68E1" w:rsidTr="00EF3711">
        <w:trPr>
          <w:trHeight w:val="173"/>
          <w:jc w:val="center"/>
        </w:trPr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E0720" w:rsidRPr="00FA68E1" w:rsidTr="00EF3711">
        <w:trPr>
          <w:trHeight w:val="114"/>
          <w:jc w:val="center"/>
        </w:trPr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8E0720" w:rsidRPr="00FA68E1" w:rsidTr="00EF3711">
        <w:trPr>
          <w:trHeight w:val="114"/>
          <w:jc w:val="center"/>
        </w:trPr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</w:rPr>
      </w:pPr>
    </w:p>
    <w:p w:rsidR="008E0720" w:rsidRPr="00FA68E1" w:rsidRDefault="008E0720" w:rsidP="008E07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lastRenderedPageBreak/>
        <w:t>Zachovanie priaznivého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Ls5.4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9150) </w:t>
      </w:r>
      <w:proofErr w:type="spellStart"/>
      <w:r w:rsidRPr="00FA68E1">
        <w:rPr>
          <w:rFonts w:ascii="Times New Roman" w:hAnsi="Times New Roman" w:cs="Times New Roman"/>
          <w:b/>
          <w:sz w:val="24"/>
          <w:szCs w:val="24"/>
        </w:rPr>
        <w:t>Vápnomilné</w:t>
      </w:r>
      <w:proofErr w:type="spellEnd"/>
      <w:r w:rsidRPr="00FA68E1">
        <w:rPr>
          <w:rFonts w:ascii="Times New Roman" w:hAnsi="Times New Roman" w:cs="Times New Roman"/>
          <w:b/>
          <w:sz w:val="24"/>
          <w:szCs w:val="24"/>
        </w:rPr>
        <w:t xml:space="preserve"> bukové lesy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8E0720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8E0720" w:rsidRPr="00FA68E1" w:rsidTr="00EF3711">
        <w:trPr>
          <w:trHeight w:val="10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8E072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198,57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Udržanie existujúcej výmery biotopu v ÚEV.</w:t>
            </w:r>
          </w:p>
        </w:tc>
      </w:tr>
      <w:tr w:rsidR="008E0720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8E0720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Adenophora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liliifolia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Aquilegia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Calamagrostis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varia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),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persicifolia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Carduus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glaucinus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Cephalanthera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damasonium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erisithales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Corallorhiza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trifida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mattioli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Cypripedium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calceolus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anexový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druh),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Epipactis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microphylla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E.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muelleri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Hedera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helix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Laserpitium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latifolium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Pleurospermum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austriacum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stiriaca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saxatilis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virgaurea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8E0720" w:rsidRPr="00FA68E1" w:rsidTr="00EF3711">
        <w:trPr>
          <w:trHeight w:val="62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a bylín.</w:t>
            </w:r>
          </w:p>
        </w:tc>
      </w:tr>
      <w:tr w:rsidR="008E0720" w:rsidRPr="00FA68E1" w:rsidTr="00EF3711">
        <w:trPr>
          <w:trHeight w:val="64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FA68E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A68E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8E0720" w:rsidRPr="00FA68E1" w:rsidRDefault="008E0720" w:rsidP="008E072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0720" w:rsidRPr="00FA68E1" w:rsidRDefault="008E0720" w:rsidP="008E0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8E0720" w:rsidRPr="00FA68E1" w:rsidTr="00EF3711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E0720" w:rsidRPr="00FA68E1" w:rsidTr="00EF3711">
        <w:trPr>
          <w:trHeight w:val="19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8E07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257,97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8E0720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8E0720" w:rsidRPr="00FA68E1" w:rsidRDefault="008E0720" w:rsidP="00EF3711">
            <w:pPr>
              <w:widowControl w:val="0"/>
              <w:tabs>
                <w:tab w:val="left" w:pos="126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 20%,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720" w:rsidRPr="00FA68E1" w:rsidRDefault="008E0720" w:rsidP="00EF3711">
            <w:pPr>
              <w:widowControl w:val="0"/>
              <w:tabs>
                <w:tab w:val="left" w:pos="126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720" w:rsidRPr="00FA68E1" w:rsidRDefault="008E0720" w:rsidP="00EF3711">
            <w:pPr>
              <w:widowControl w:val="0"/>
              <w:tabs>
                <w:tab w:val="left" w:pos="132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T.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0720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0720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8E0720" w:rsidRPr="00FA68E1" w:rsidTr="00EF3711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8E0720" w:rsidRPr="00FA68E1" w:rsidRDefault="008E0720" w:rsidP="008E0720">
      <w:pPr>
        <w:pStyle w:val="Zkladntext"/>
        <w:widowControl w:val="0"/>
        <w:jc w:val="left"/>
        <w:rPr>
          <w:b w:val="0"/>
          <w:color w:val="000000"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b w:val="0"/>
          <w:color w:val="000000"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8E0720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E0720" w:rsidRPr="00FA68E1" w:rsidTr="00EF3711">
        <w:trPr>
          <w:trHeight w:val="41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8E07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14,12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8E0720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8E0720" w:rsidRPr="00FA68E1" w:rsidRDefault="008E0720" w:rsidP="00EF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720" w:rsidRPr="00FA68E1" w:rsidRDefault="008E0720" w:rsidP="00EF3711">
            <w:pPr>
              <w:spacing w:line="27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a/alebo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 30%)</w:t>
            </w:r>
          </w:p>
          <w:p w:rsidR="008E0720" w:rsidRPr="00FA68E1" w:rsidRDefault="008E0720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8E0720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E0720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8E0720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>Zlepšenie stavu biotopu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4820"/>
      </w:tblGrid>
      <w:tr w:rsidR="008E0720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69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13 druhov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Avenula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Convolvulus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Dactylis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glomerata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Leucanthemum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Rumex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acetosa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Taraxacum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sect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Ruderalia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Tragopogon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orientalis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Trisetum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8E0720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Pi5 (6110*) Pionierske porasty na plytkých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1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8E0720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25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8E0720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  <w:sz w:val="20"/>
          <w:szCs w:val="20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678"/>
      </w:tblGrid>
      <w:tr w:rsidR="008E0720" w:rsidRPr="00FA68E1" w:rsidTr="00EF3711">
        <w:trPr>
          <w:trHeight w:val="305"/>
        </w:trPr>
        <w:tc>
          <w:tcPr>
            <w:tcW w:w="1702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195"/>
        </w:trPr>
        <w:tc>
          <w:tcPr>
            <w:tcW w:w="1702" w:type="dxa"/>
            <w:shd w:val="clear" w:color="auto" w:fill="FFFFFF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8,2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195"/>
        </w:trPr>
        <w:tc>
          <w:tcPr>
            <w:tcW w:w="1702" w:type="dxa"/>
            <w:shd w:val="clear" w:color="auto" w:fill="FFFFFF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 v SKUEV3341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30,92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8E0720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7"/>
      </w:tblGrid>
      <w:tr w:rsidR="008E0720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140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8E0720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pokrytia/25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  <w:sz w:val="20"/>
          <w:szCs w:val="20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Zachovanie stavu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(40A0*)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Xerotermné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kroviny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5234"/>
      </w:tblGrid>
      <w:tr w:rsidR="008E0720" w:rsidRPr="00FA68E1" w:rsidTr="00EF3711">
        <w:trPr>
          <w:trHeight w:val="689"/>
        </w:trPr>
        <w:tc>
          <w:tcPr>
            <w:tcW w:w="1844" w:type="dxa"/>
            <w:shd w:val="clear" w:color="auto" w:fill="FFFFFF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FFFFFF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shd w:val="clear" w:color="auto" w:fill="FFFFFF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34" w:type="dxa"/>
            <w:shd w:val="clear" w:color="auto" w:fill="FFFFFF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283"/>
        </w:trPr>
        <w:tc>
          <w:tcPr>
            <w:tcW w:w="1844" w:type="dxa"/>
            <w:shd w:val="clear" w:color="auto" w:fill="FFFFFF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1,76</w:t>
            </w:r>
          </w:p>
        </w:tc>
        <w:tc>
          <w:tcPr>
            <w:tcW w:w="52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684"/>
        </w:trPr>
        <w:tc>
          <w:tcPr>
            <w:tcW w:w="184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52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turrita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fruticosa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Crataegus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monogyna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Euonymus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verrucosus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album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Ligustrum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canina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 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pimpinellifolia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Spiraea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Waldsteinia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geoides</w:t>
            </w:r>
            <w:proofErr w:type="spellEnd"/>
          </w:p>
        </w:tc>
      </w:tr>
      <w:tr w:rsidR="008E0720" w:rsidRPr="00FA68E1" w:rsidTr="00EF3711">
        <w:trPr>
          <w:trHeight w:val="283"/>
        </w:trPr>
        <w:tc>
          <w:tcPr>
            <w:tcW w:w="184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52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8E0720" w:rsidRPr="00FA68E1" w:rsidTr="00EF3711">
        <w:trPr>
          <w:trHeight w:val="831"/>
        </w:trPr>
        <w:tc>
          <w:tcPr>
            <w:tcW w:w="184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34" w:type="dxa"/>
            <w:shd w:val="clear" w:color="auto" w:fill="FFFFFF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720" w:rsidRPr="00FA68E1" w:rsidRDefault="008E0720" w:rsidP="008E0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Zachovanie priaznivého stavu biotopu</w:t>
      </w:r>
      <w:r w:rsidRPr="00FA68E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Sk6 (* 8160) Nespevnené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sutiny v montánnom až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kolínnom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stupni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4678"/>
      </w:tblGrid>
      <w:tr w:rsidR="008E0720" w:rsidRPr="00FA68E1" w:rsidTr="00EF3711">
        <w:trPr>
          <w:trHeight w:val="705"/>
        </w:trPr>
        <w:tc>
          <w:tcPr>
            <w:tcW w:w="1844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134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290"/>
        </w:trPr>
        <w:tc>
          <w:tcPr>
            <w:tcW w:w="1844" w:type="dxa"/>
            <w:shd w:val="clear" w:color="auto" w:fill="auto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290"/>
        </w:trPr>
        <w:tc>
          <w:tcPr>
            <w:tcW w:w="1844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Bupleurum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</w:t>
            </w:r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angustifolium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mollugo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Gymnocarpium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Microrrhinum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Parietaria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officinalis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E0720" w:rsidRPr="00FA68E1" w:rsidTr="00EF3711">
        <w:trPr>
          <w:trHeight w:val="290"/>
        </w:trPr>
        <w:tc>
          <w:tcPr>
            <w:tcW w:w="1844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sutinách.</w:t>
            </w:r>
          </w:p>
        </w:tc>
      </w:tr>
      <w:tr w:rsidR="008E0720" w:rsidRPr="00FA68E1" w:rsidTr="00EF3711">
        <w:trPr>
          <w:trHeight w:val="290"/>
        </w:trPr>
        <w:tc>
          <w:tcPr>
            <w:tcW w:w="1844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E0720" w:rsidRPr="00FA68E1" w:rsidRDefault="008E0720" w:rsidP="008E0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priaznivého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4678"/>
      </w:tblGrid>
      <w:tr w:rsidR="008E0720" w:rsidRPr="00FA68E1" w:rsidTr="00EF3711">
        <w:trPr>
          <w:trHeight w:val="482"/>
        </w:trPr>
        <w:tc>
          <w:tcPr>
            <w:tcW w:w="1702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4678"/>
      </w:tblGrid>
      <w:tr w:rsidR="008E0720" w:rsidRPr="00FA68E1" w:rsidTr="00EF3711">
        <w:trPr>
          <w:trHeight w:val="448"/>
        </w:trPr>
        <w:tc>
          <w:tcPr>
            <w:tcW w:w="1702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Výmera biotopu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8E0720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20" w:rsidRPr="00FA68E1" w:rsidRDefault="008E0720" w:rsidP="008E0720">
      <w:pPr>
        <w:pStyle w:val="Zkladntext"/>
        <w:widowControl w:val="0"/>
        <w:jc w:val="left"/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8"/>
        <w:gridCol w:w="1483"/>
        <w:gridCol w:w="2820"/>
        <w:gridCol w:w="3834"/>
      </w:tblGrid>
      <w:tr w:rsidR="008E0720" w:rsidRPr="00FA68E1" w:rsidTr="00EF3711">
        <w:trPr>
          <w:trHeight w:val="3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 populácie druhu zo súčasných 10 až 50 jedincov, na min. 50 jedincov.</w:t>
            </w:r>
          </w:p>
        </w:tc>
      </w:tr>
      <w:tr w:rsidR="008E0720" w:rsidRPr="00FA68E1" w:rsidTr="00EF3711">
        <w:trPr>
          <w:trHeight w:val="28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8E0720" w:rsidRPr="00FA68E1" w:rsidTr="00EF3711">
        <w:trPr>
          <w:trHeight w:val="9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8E0720" w:rsidRPr="00FA68E1" w:rsidTr="00EF371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8E0720" w:rsidRPr="00FA68E1" w:rsidTr="00EF371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b w:val="0"/>
        </w:rPr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</w:rPr>
        <w:t>Thlaspi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jankae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0"/>
        <w:gridCol w:w="1464"/>
        <w:gridCol w:w="2906"/>
        <w:gridCol w:w="3775"/>
      </w:tblGrid>
      <w:tr w:rsidR="008E0720" w:rsidRPr="00FA68E1" w:rsidTr="00EF3711">
        <w:trPr>
          <w:trHeight w:val="3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10 000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Zachovanie súčasnej populácie druhu 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(v závislosti od variability početnosti populácie v rámci jednotlivých rokov).</w:t>
            </w:r>
          </w:p>
        </w:tc>
      </w:tr>
      <w:tr w:rsidR="008E0720" w:rsidRPr="00FA68E1" w:rsidTr="00EF371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8E0720" w:rsidRPr="00FA68E1" w:rsidTr="00EF3711">
        <w:trPr>
          <w:trHeight w:val="9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lychnitis</w:t>
            </w:r>
            <w:proofErr w:type="spellEnd"/>
          </w:p>
        </w:tc>
      </w:tr>
      <w:tr w:rsidR="008E0720" w:rsidRPr="00FA68E1" w:rsidTr="00EF3711">
        <w:trPr>
          <w:trHeight w:val="23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8E0720" w:rsidRPr="00FA68E1" w:rsidTr="00EF3711">
        <w:trPr>
          <w:trHeight w:val="23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8E0720" w:rsidRPr="00FA68E1" w:rsidRDefault="008E0720" w:rsidP="008E0720">
      <w:pPr>
        <w:jc w:val="both"/>
        <w:rPr>
          <w:rFonts w:ascii="Times New Roman" w:hAnsi="Times New Roman" w:cs="Times New Roman"/>
          <w:b/>
          <w:bCs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Stenobothrus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eurasius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341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1943"/>
        <w:gridCol w:w="1492"/>
        <w:gridCol w:w="4207"/>
      </w:tblGrid>
      <w:tr w:rsidR="008E0720" w:rsidRPr="00FA68E1" w:rsidTr="00EF3711">
        <w:trPr>
          <w:trHeight w:val="3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3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Veľkosť populácie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4000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súčasnsoti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sa odhaduje počet na  0 až 5000 jedincov, cieľom je stabilná populácia druhu v území</w:t>
            </w:r>
          </w:p>
        </w:tc>
      </w:tr>
      <w:tr w:rsidR="008E0720" w:rsidRPr="00FA68E1" w:rsidTr="00EF3711">
        <w:trPr>
          <w:trHeight w:val="62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udržanie výmery biotopu druhu </w:t>
            </w:r>
          </w:p>
        </w:tc>
      </w:tr>
      <w:tr w:rsidR="008E0720" w:rsidRPr="00FA68E1" w:rsidTr="00EF3711">
        <w:trPr>
          <w:trHeight w:val="93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okrajov, príp. s extenzívnym obhospodarovaním pastvou alebo kosením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pStyle w:val="Zkladntext"/>
        <w:widowControl w:val="0"/>
        <w:jc w:val="left"/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3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6"/>
      </w:tblGrid>
      <w:tr w:rsidR="008E0720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zaznamenaný pravidelný výskyt 50 až 150 jedincov v rámci celého ÚEV na zimoviskách.</w:t>
            </w:r>
          </w:p>
        </w:tc>
      </w:tr>
      <w:tr w:rsidR="008E0720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5 známy výskyt zimoviska uvedeného druhu z čoho 1 zimovisko predstavuje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stara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banská štôlňa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3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6"/>
      </w:tblGrid>
      <w:tr w:rsidR="008E0720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zaznamenaný pravidelný výskyt 20 až 100 jedincov v rámci celého ÚEV na zimoviskách.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6 známych výskytových zimovísk uvedeného druhu.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18,9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a príležitostné úkrytové biotopy.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3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6"/>
      </w:tblGrid>
      <w:tr w:rsidR="008E0720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Je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zaznamenyný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pravidelný výskyt 10 až 20 jedincov v rámci celého ÚEV na zimoviskách 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5 známych zimovísk uvedeného druhu.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18,9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a príležitostné úkrytové biotopy.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8931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394"/>
      </w:tblGrid>
      <w:tr w:rsidR="008E0720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reprodukčný výskyt v starých lesných porastoch v počte 40 až 100 jedincov a je zaznamenaný tiež na zimoviskách v počte 0 až 2 jedincov v rámci celého.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výskyty zimoviska uvedeného druhu.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18,9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Lesné biotopy v území – poskytujú lokality na rozmnožovanie, potravné biotopy a úkrytové biotopy. Potreba zachovania starých porastov s dostatkom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bútlavých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dutanitých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stromov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dasycneme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257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7"/>
        <w:gridCol w:w="1470"/>
        <w:gridCol w:w="1670"/>
        <w:gridCol w:w="4251"/>
      </w:tblGrid>
      <w:tr w:rsidR="008E0720" w:rsidRPr="00FA68E1" w:rsidTr="00EF3711">
        <w:trPr>
          <w:trHeight w:val="3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Min.10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evidovaný len náhodný výskyt (zaznamenanie od 2 do 10 jedincov v rámci celého ÚEV).</w:t>
            </w:r>
          </w:p>
        </w:tc>
      </w:tr>
      <w:tr w:rsidR="008E0720" w:rsidRPr="00FA68E1" w:rsidTr="00EF3711">
        <w:trPr>
          <w:trHeight w:val="93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Brehové porasty v území – poskytujú lokality na potravné biotopy a príležitostné úkrytové biotopy dosiahnutie starších porastov na danom území.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emarginatus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257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1"/>
        <w:gridCol w:w="1471"/>
        <w:gridCol w:w="1673"/>
        <w:gridCol w:w="4243"/>
      </w:tblGrid>
      <w:tr w:rsidR="008E0720" w:rsidRPr="00FA68E1" w:rsidTr="00EF3711">
        <w:trPr>
          <w:trHeight w:val="35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evidovaný len náhodný výskyt  od 1 do 5 jedincov v zimoviskách v rámci celého ÚEV.</w:t>
            </w:r>
          </w:p>
        </w:tc>
      </w:tr>
      <w:tr w:rsidR="008E0720" w:rsidRPr="00FA68E1" w:rsidTr="00EF3711">
        <w:trPr>
          <w:trHeight w:val="93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18,9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porasty v území – poskytujú lokality na potravné biotopy pre daný druh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8931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394"/>
      </w:tblGrid>
      <w:tr w:rsidR="008E0720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8E07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početnosť 10 až 100 jedincov v rámci celého ÚEV 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8E0720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...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20" w:rsidRPr="00FA68E1" w:rsidRDefault="008E0720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Lesné biotopy v území – poskytujú lokality na rozmnožovanie, potravné biotopy a úkrytové biotopy. Potreba zachovania starých porastov s dostatkom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bútlavých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dutinatých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stromov.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Canis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lupus</w:t>
      </w:r>
      <w:proofErr w:type="spellEnd"/>
      <w:r w:rsidRPr="00FA68E1">
        <w:rPr>
          <w:b w:val="0"/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110"/>
      </w:tblGrid>
      <w:tr w:rsidR="008E0720" w:rsidRPr="00FA68E1" w:rsidTr="00EF3711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8E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 reprodukčná svorka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jedincov vo svorke sa pohybuje v rozpätí od 2 do 8 jedincov.</w:t>
            </w:r>
          </w:p>
        </w:tc>
      </w:tr>
      <w:tr w:rsidR="008E0720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Celé územie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Výmera biotopu je určená na celé územie ÚEV. Veľkosť teritória 1 reprodukčnej svorky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8E0720" w:rsidRPr="00FA68E1" w:rsidTr="00EF3711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Minimálny podiel 70% </w:t>
            </w:r>
          </w:p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Lesy dôležité pre trvalú existenciu druhu, ktoré poskytujú potravné ale aj úkrytové možnosti druhu.</w:t>
            </w:r>
          </w:p>
        </w:tc>
      </w:tr>
      <w:tr w:rsidR="008E0720" w:rsidRPr="00FA68E1" w:rsidTr="00EF3711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Umožnené prepojenie populácií s UEV Horný vrch</w:t>
            </w:r>
          </w:p>
        </w:tc>
      </w:tr>
    </w:tbl>
    <w:p w:rsidR="008E0720" w:rsidRPr="00FA68E1" w:rsidRDefault="008E0720" w:rsidP="008E0720">
      <w:pPr>
        <w:pStyle w:val="Zkladntext"/>
        <w:widowControl w:val="0"/>
        <w:jc w:val="left"/>
        <w:rPr>
          <w:b w:val="0"/>
          <w:i/>
        </w:rPr>
      </w:pPr>
    </w:p>
    <w:p w:rsidR="008E0720" w:rsidRPr="00FA68E1" w:rsidRDefault="008E0720" w:rsidP="008E0720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110"/>
      </w:tblGrid>
      <w:tr w:rsidR="008E0720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E0720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8E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Minimálny počet 5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Odhadnutý počet jedincov v súčasnosti do 3, potrebné zvýšenie početnosti populácie.</w:t>
            </w:r>
          </w:p>
        </w:tc>
      </w:tr>
      <w:tr w:rsidR="008E0720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Celé územie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teritória 1 exemplára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8E0720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Podiel zastavaného územia (%) a turistickej infraštruktúry (m)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Maximálny podiel zastaveného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úzenia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0% a maximálne 8000 metrov cyklotrás mimo lesných biotopov</w:t>
            </w:r>
          </w:p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 biotopoch rysa vylúčiť budovanie stavieb a rozširovať turistickú infraštruktúru.</w:t>
            </w:r>
          </w:p>
        </w:tc>
      </w:tr>
      <w:tr w:rsidR="008E0720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720" w:rsidRPr="00FA68E1" w:rsidRDefault="008E0720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Umožnené bezbariérové prepojenie populácií s UEV Horný vrch</w:t>
            </w:r>
          </w:p>
        </w:tc>
      </w:tr>
    </w:tbl>
    <w:p w:rsidR="008E0720" w:rsidRPr="00FA68E1" w:rsidRDefault="008E0720" w:rsidP="008E0720">
      <w:pPr>
        <w:rPr>
          <w:rFonts w:ascii="Times New Roman" w:hAnsi="Times New Roman" w:cs="Times New Roman"/>
        </w:rPr>
      </w:pPr>
    </w:p>
    <w:p w:rsidR="004F7434" w:rsidRDefault="004F7434">
      <w:bookmarkStart w:id="0" w:name="_GoBack"/>
      <w:bookmarkEnd w:id="0"/>
    </w:p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0"/>
    <w:rsid w:val="004F7434"/>
    <w:rsid w:val="008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FCC0"/>
  <w15:chartTrackingRefBased/>
  <w15:docId w15:val="{D9F954E4-A722-43B3-8454-124CF9E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7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E07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8E072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2023-01-10T13:26:00Z</dcterms:created>
  <dcterms:modified xsi:type="dcterms:W3CDTF">2023-01-10T13:31:00Z</dcterms:modified>
</cp:coreProperties>
</file>