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73" w:rsidRPr="00036C32" w:rsidRDefault="00D11B73" w:rsidP="00036C32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36C32">
        <w:rPr>
          <w:rStyle w:val="markedcontent"/>
          <w:rFonts w:ascii="Times New Roman" w:hAnsi="Times New Roman" w:cs="Times New Roman"/>
          <w:b/>
          <w:sz w:val="28"/>
          <w:szCs w:val="28"/>
        </w:rPr>
        <w:t>SKUEV0299 Baranovo</w:t>
      </w:r>
    </w:p>
    <w:p w:rsidR="001A5695" w:rsidRPr="00036C32" w:rsidRDefault="00036C32" w:rsidP="00036C32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Ciele ochrany:</w:t>
      </w:r>
    </w:p>
    <w:p w:rsidR="009832B1" w:rsidRDefault="009832B1" w:rsidP="009832B1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>Zachovanie priaznivého stavu biotopu</w:t>
      </w:r>
      <w:r>
        <w:rPr>
          <w:color w:val="000000"/>
        </w:rPr>
        <w:t xml:space="preserve"> Ls5.1 </w:t>
      </w:r>
      <w:r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9130</w:t>
      </w:r>
      <w:r>
        <w:rPr>
          <w:bCs w:val="0"/>
          <w:color w:val="000000"/>
          <w:shd w:val="clear" w:color="auto" w:fill="FFFFFF"/>
        </w:rPr>
        <w:t>) Bukové a jedľovo-bukové kvetnaté lesy</w:t>
      </w:r>
      <w:r>
        <w:rPr>
          <w:b w:val="0"/>
          <w:color w:val="000000"/>
        </w:rPr>
        <w:t xml:space="preserve"> za splnenia nasledovných atribútov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9832B1" w:rsidTr="009832B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832B1" w:rsidTr="009832B1">
        <w:trPr>
          <w:trHeight w:val="27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Udržanie existujúcej výmery biotopu v ÚEV. </w:t>
            </w:r>
          </w:p>
        </w:tc>
      </w:tr>
      <w:tr w:rsidR="009832B1" w:rsidTr="009832B1">
        <w:trPr>
          <w:trHeight w:val="1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minimálne 40%).</w:t>
            </w:r>
          </w:p>
        </w:tc>
      </w:tr>
      <w:tr w:rsidR="009832B1" w:rsidTr="009832B1">
        <w:trPr>
          <w:trHeight w:val="1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Asarum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europaeum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Athyrium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filix-femina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Bromus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benekenii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Carex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Dentaria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bulbifera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enneaphyllos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glandulosa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filix-mas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Festuca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altissima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F.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drymeja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Galeobdolon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luteum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Galium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odoratum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Hordelymus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europaeus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Isopyrum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thalictroides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Melica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nutans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uniflora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Mercurialis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perennis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Myosotis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quadrifolia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Prenanthes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purpurea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Pulmonaria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obscura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hirtus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Salvia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glutinosa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Sanicula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europaea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Senecio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ovatus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Symphytum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tuberosum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Tithymalus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amygdaloides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Veronica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Viola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reichenbachiana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832B1" w:rsidTr="009832B1">
        <w:trPr>
          <w:trHeight w:val="1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9832B1" w:rsidTr="009832B1">
        <w:trPr>
          <w:trHeight w:val="1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20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zvýšenia a následného udržania prítomnosti odumretého dreva na ploche biotopu v danom objeme.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2B1" w:rsidRDefault="009832B1" w:rsidP="009832B1">
      <w:pPr>
        <w:spacing w:line="240" w:lineRule="auto"/>
        <w:rPr>
          <w:rFonts w:ascii="Times New Roman" w:hAnsi="Times New Roman" w:cs="Times New Roman"/>
        </w:rPr>
      </w:pPr>
    </w:p>
    <w:p w:rsidR="009832B1" w:rsidRDefault="009832B1" w:rsidP="009832B1">
      <w:pPr>
        <w:pStyle w:val="Zkladntext"/>
        <w:widowControl w:val="0"/>
        <w:ind w:left="-142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lastRenderedPageBreak/>
        <w:t>Zlepšenie stavu biotopu</w:t>
      </w:r>
      <w:r>
        <w:rPr>
          <w:color w:val="000000"/>
        </w:rPr>
        <w:t xml:space="preserve"> Ls5.2 </w:t>
      </w:r>
      <w:r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9110</w:t>
      </w:r>
      <w:r>
        <w:rPr>
          <w:bCs w:val="0"/>
          <w:color w:val="000000"/>
          <w:shd w:val="clear" w:color="auto" w:fill="FFFFFF"/>
        </w:rPr>
        <w:t xml:space="preserve">) </w:t>
      </w:r>
      <w:proofErr w:type="spellStart"/>
      <w:r>
        <w:rPr>
          <w:bCs w:val="0"/>
          <w:color w:val="000000"/>
          <w:shd w:val="clear" w:color="auto" w:fill="FFFFFF"/>
        </w:rPr>
        <w:t>Kyslomilné</w:t>
      </w:r>
      <w:proofErr w:type="spellEnd"/>
      <w:r>
        <w:rPr>
          <w:bCs w:val="0"/>
          <w:color w:val="000000"/>
          <w:shd w:val="clear" w:color="auto" w:fill="FFFFFF"/>
        </w:rPr>
        <w:t xml:space="preserve"> bukové kvetnaté lesy</w:t>
      </w:r>
      <w:r>
        <w:rPr>
          <w:b w:val="0"/>
          <w:color w:val="000000"/>
        </w:rPr>
        <w:t xml:space="preserve"> za splnenia nasledovných atribútov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9832B1" w:rsidTr="009832B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832B1" w:rsidTr="009832B1">
        <w:trPr>
          <w:trHeight w:val="19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udržanie existujúcej výmery biotopu v ÚEV. </w:t>
            </w:r>
          </w:p>
        </w:tc>
      </w:tr>
      <w:tr w:rsidR="009832B1" w:rsidTr="009832B1">
        <w:trPr>
          <w:trHeight w:val="1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80 %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4.lvs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&lt;30%, Acer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pendula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Populus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tremula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5.lvs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pendula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&lt;30%,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minimálne 40%).</w:t>
            </w:r>
          </w:p>
        </w:tc>
      </w:tr>
      <w:tr w:rsidR="009832B1" w:rsidTr="009832B1">
        <w:trPr>
          <w:trHeight w:val="1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charakteristických druhov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synúzie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podrastu (bylín, krov,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machorastov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Avenella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flexuosa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Calamagrostis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villosa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carthusiana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dilatata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Hieracium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murorum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Luzula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luzuloides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L.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pilosa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Maianthemum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bifolium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Melampyrum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pratense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Oxalis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acetosella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nemoralis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Polygonatum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Vaccinium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myrtillus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832B1" w:rsidTr="009832B1">
        <w:trPr>
          <w:trHeight w:val="1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druhov/inváznych druhov drevín a bylín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Menej ako 1 %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Minimálne zastúpenie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bylín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Impatiens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parviflora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9832B1" w:rsidTr="009832B1">
        <w:trPr>
          <w:trHeight w:val="1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Mŕtve drevo 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(stojace, ležiace kmene stromov hlavnej úrovne s limitnou hrúbkou d1,3 najmenej 30 cm, pre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 d1,3 najmenej 50 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najmenej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2B1" w:rsidRDefault="009832B1" w:rsidP="009832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832B1" w:rsidRDefault="009832B1" w:rsidP="009832B1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Zlepšenie nepriaznivého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splnenia nasledovných atribútov: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128"/>
      </w:tblGrid>
      <w:tr w:rsidR="009832B1" w:rsidTr="009832B1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832B1" w:rsidTr="009832B1">
        <w:trPr>
          <w:trHeight w:val="10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Udržanie existujúcej výmery biotopu v ÚEV.</w:t>
            </w:r>
          </w:p>
        </w:tc>
      </w:tr>
      <w:tr w:rsidR="009832B1" w:rsidTr="009832B1">
        <w:trPr>
          <w:trHeight w:val="1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85 %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4.lvs: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Acer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Quercus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T.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5.lvs: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&lt;30%, 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&lt;30%,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Taxus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***,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T.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6.lvs: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&lt;50%,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Taxus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minimálne 30%).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biotopu.</w:t>
            </w:r>
          </w:p>
        </w:tc>
      </w:tr>
      <w:tr w:rsidR="009832B1" w:rsidTr="009832B1">
        <w:trPr>
          <w:trHeight w:val="1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Adenophora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liliifolia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Aquilegia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Calamagrostis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varia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persicifolia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Cardaminopsis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arenosa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Carduus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glaucinus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Carex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digitata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Cephalanthera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damasonium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rubra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Cirsium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erisithales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Corallorhiza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trifida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mattioli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Cyclamen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fatrense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Cypripedium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calceolus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anexový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druh),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Epipactis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microphylla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E.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muelleri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Hedera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helix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Laserpitium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latifolium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Lilium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martagon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Pimpinella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major,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Pleurospermum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austriacum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stiriaca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saxatilis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Sesleria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albicans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S.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heufleriana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virgaurea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Valeriana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tripteris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Vincetoxicum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hirundinaria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9832B1" w:rsidTr="009832B1">
        <w:trPr>
          <w:trHeight w:val="62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9832B1" w:rsidTr="009832B1">
        <w:trPr>
          <w:trHeight w:val="64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 s limitnou hrúbkou 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najmenej 50 cm)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najmenej 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9832B1" w:rsidRDefault="009832B1" w:rsidP="009832B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832B1" w:rsidRDefault="009832B1" w:rsidP="009832B1">
      <w:pPr>
        <w:spacing w:line="24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Zachovanie priaznivého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Ls4 (</w:t>
      </w:r>
      <w:r>
        <w:rPr>
          <w:rFonts w:ascii="Times New Roman" w:hAnsi="Times New Roman" w:cs="Times New Roman"/>
          <w:b/>
          <w:sz w:val="24"/>
          <w:szCs w:val="24"/>
        </w:rPr>
        <w:t xml:space="preserve">9180*) Lipovo-javorové sutinové lesy </w:t>
      </w:r>
      <w:r>
        <w:rPr>
          <w:rFonts w:ascii="Times New Roman" w:hAnsi="Times New Roman" w:cs="Times New Roman"/>
          <w:sz w:val="24"/>
          <w:szCs w:val="24"/>
        </w:rPr>
        <w:t>za splnenia nasledovných atribútov:</w:t>
      </w:r>
      <w:r>
        <w:rPr>
          <w:b/>
          <w:sz w:val="24"/>
          <w:szCs w:val="24"/>
        </w:rPr>
        <w:tab/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1134"/>
        <w:gridCol w:w="5245"/>
      </w:tblGrid>
      <w:tr w:rsidR="009832B1" w:rsidTr="009832B1">
        <w:trPr>
          <w:trHeight w:val="45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9832B1" w:rsidTr="009832B1">
        <w:trPr>
          <w:trHeight w:val="8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Výmera biotopu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Udržanie súčasnej výmery biotopu v ÚEV.</w:t>
            </w:r>
          </w:p>
        </w:tc>
      </w:tr>
      <w:tr w:rsidR="009832B1" w:rsidTr="009832B1">
        <w:trPr>
          <w:trHeight w:val="17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Zastúpenie charakteristických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90 %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Acer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Q.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petraea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pubescens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Q.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T.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U.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minor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&lt;20%, Acer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campestre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Carpinus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betulus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Cerasus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avium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Q.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petraea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robur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T.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&lt;40%,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Taxus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2B1" w:rsidRDefault="009832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alba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&lt;40%,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A. 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pseudoplatanus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Fagus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excelsior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Larix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decidua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Picea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abies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&lt;25%,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Pinus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sylvestris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&lt;10%,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Sorbus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Taxus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baccata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Tilia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cordata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platyphyllos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Ulmus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glabra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Pozn.: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Hrubším typom písma sú vyznačené dominantné druhy biotopu.</w:t>
            </w:r>
          </w:p>
        </w:tc>
      </w:tr>
      <w:tr w:rsidR="009832B1" w:rsidTr="009832B1">
        <w:trPr>
          <w:trHeight w:val="17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Zastúpenie charakteristických druhov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synúzie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podrastu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bylín, krov,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machorastov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lišajníkov)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Počet druhov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najmenej 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Charakteristická druhová skladba: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Aconitum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moldavicum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variegatum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A.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vulparia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Actaea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spicata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Alliaria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petiolata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Aruncus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vulgaris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Campanula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rapunculoides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Chelidonium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majus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Clematis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alpina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Cortusa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matthioli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Cystopteris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montana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C. 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sudetica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Geranium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robertianum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Hesperis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matronalis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subsp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nivea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endemit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Lamium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maculatum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Lunaria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rediviva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Mercurialis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perenis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Phyllitis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scolopendrium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Polystichum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aculeatum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Urtica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dioica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Ribes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alpinum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2B1" w:rsidTr="009832B1">
        <w:trPr>
          <w:trHeight w:val="11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Zastúpenie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druhov/inváznych druhov drevín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Percento pokrytia / 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zastúpenia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/inváznych druhov drevín a bylín.</w:t>
            </w:r>
          </w:p>
        </w:tc>
      </w:tr>
      <w:tr w:rsidR="009832B1" w:rsidTr="009832B1">
        <w:trPr>
          <w:trHeight w:val="5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Mŕtve drevo (stojace, ležiace kmene stromov hlavnej úrovne)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viac ako 40</w:t>
            </w:r>
          </w:p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rovnomer-ne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celej ploche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832B1" w:rsidRDefault="009832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Zabezpečenie udržania prítomnosti odumretého dreva na ploche biotopu v danom objeme.</w:t>
            </w:r>
          </w:p>
        </w:tc>
      </w:tr>
    </w:tbl>
    <w:p w:rsidR="009832B1" w:rsidRDefault="009832B1" w:rsidP="008E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ED" w:rsidRPr="001D5438" w:rsidRDefault="00273AED" w:rsidP="008E0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>Kr2 (5130) Porasty borievky obyčajnej</w:t>
      </w:r>
      <w:r w:rsidRPr="001D5438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800"/>
        <w:gridCol w:w="4684"/>
      </w:tblGrid>
      <w:tr w:rsidR="00273AED" w:rsidRPr="001D5438" w:rsidTr="00032783">
        <w:trPr>
          <w:trHeight w:val="705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273AED" w:rsidRPr="001D5438" w:rsidTr="00032783">
        <w:trPr>
          <w:trHeight w:val="2320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10 druhov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Agrimonia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eupatoria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Achillea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millefolium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Anthyllis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vulneraria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Briza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Carlina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acaulis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Carlina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Dianthus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carthusianorum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Genista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Hypericum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perforatum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Juniperus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communis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Leontodon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hispidus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S.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verticillata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chamaedrys</w:t>
            </w:r>
            <w:proofErr w:type="spellEnd"/>
          </w:p>
        </w:tc>
      </w:tr>
      <w:tr w:rsidR="00273AED" w:rsidRPr="001D5438" w:rsidTr="00032783">
        <w:trPr>
          <w:trHeight w:val="870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30 – 70 %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Stredne až husto zapojené porasty borievky obyčajnej, ktoré sa vytvorili na opustených pasienkoch alebo na extenzívne pasených plochách. V prípade zapájania porastov je potrebné odstraňovať/prerieďovať dreviny.</w:t>
            </w:r>
          </w:p>
        </w:tc>
      </w:tr>
      <w:tr w:rsidR="00273AED" w:rsidRPr="001D5438" w:rsidTr="00032783">
        <w:trPr>
          <w:trHeight w:val="850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4684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nepôvodných invázne sa správajúcich druhov (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Solidago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canadensis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)</w:t>
            </w:r>
          </w:p>
        </w:tc>
      </w:tr>
    </w:tbl>
    <w:p w:rsidR="00273AED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ED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ED" w:rsidRPr="001D5438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Tr1 (6210) </w:t>
      </w:r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Suchomilné </w:t>
      </w:r>
      <w:proofErr w:type="spellStart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travinno</w:t>
      </w:r>
      <w:proofErr w:type="spellEnd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-bylinné a krovinové porasty na vápnitom substráte </w:t>
      </w:r>
      <w:r w:rsidRPr="001D5438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140"/>
        <w:gridCol w:w="1090"/>
        <w:gridCol w:w="4327"/>
      </w:tblGrid>
      <w:tr w:rsidR="00273AED" w:rsidRPr="00A514C5" w:rsidTr="00032783">
        <w:trPr>
          <w:trHeight w:val="705"/>
        </w:trPr>
        <w:tc>
          <w:tcPr>
            <w:tcW w:w="2510" w:type="dxa"/>
            <w:shd w:val="clear" w:color="auto" w:fill="FFFFFF"/>
            <w:vAlign w:val="center"/>
            <w:hideMark/>
          </w:tcPr>
          <w:p w:rsidR="00273AED" w:rsidRPr="00A514C5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A51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73AED" w:rsidRPr="00A514C5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A51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:rsidR="00273AED" w:rsidRPr="00A514C5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A51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:rsidR="00273AED" w:rsidRPr="00A514C5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A514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62,5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 Zachovanie výmery biotopu </w:t>
            </w:r>
          </w:p>
        </w:tc>
      </w:tr>
      <w:tr w:rsidR="00273AED" w:rsidRPr="001D5438" w:rsidTr="00032783">
        <w:trPr>
          <w:trHeight w:val="2900"/>
        </w:trPr>
        <w:tc>
          <w:tcPr>
            <w:tcW w:w="251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8 druhov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Acosta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rhenana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Anthericum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ramosum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Asperula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cynanchica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Arabis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hirsuta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Brachypodium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pinnatum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Bromus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erectus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humilis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michelii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tomentosa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Cirsium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pannonicum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Colymbada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Dorycnium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pentaphyllum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rupicola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Filipendula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verum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Inula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ensifolia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Koeleria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macrantha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Medicago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lupulina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catharticum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Ononis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spinosa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phleoides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Pimpinella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saxifraga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angustifolia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arenaria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heptaphylla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Prunella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laciniata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Salvia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Sanguisorba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minor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Scabiosa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ochroleuca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Securigera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varia,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Teucrium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chmaedrys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Thesium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linophyllon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alpestre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40 %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273AED" w:rsidRPr="001D5438" w:rsidTr="00032783">
        <w:trPr>
          <w:trHeight w:val="850"/>
        </w:trPr>
        <w:tc>
          <w:tcPr>
            <w:tcW w:w="251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4327" w:type="dxa"/>
            <w:shd w:val="clear" w:color="auto" w:fill="FFFFFF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zastúpenie expanzívnych druhov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Arrhenatherum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elatius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Calamagrostis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epigejos</w:t>
            </w:r>
            <w:proofErr w:type="spellEnd"/>
          </w:p>
        </w:tc>
      </w:tr>
    </w:tbl>
    <w:p w:rsidR="00273AED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ED" w:rsidRPr="00036C32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32">
        <w:rPr>
          <w:rFonts w:ascii="Times New Roman" w:hAnsi="Times New Roman" w:cs="Times New Roman"/>
          <w:sz w:val="24"/>
          <w:szCs w:val="24"/>
        </w:rPr>
        <w:t>Zlepšenie stavu biotopu</w:t>
      </w:r>
      <w:r w:rsidRPr="00036C32">
        <w:rPr>
          <w:rFonts w:ascii="Times New Roman" w:hAnsi="Times New Roman" w:cs="Times New Roman"/>
          <w:b/>
          <w:sz w:val="24"/>
          <w:szCs w:val="24"/>
        </w:rPr>
        <w:t xml:space="preserve"> 6510 (Lk1) Nížinné a podhorské kosné lúky</w:t>
      </w:r>
      <w:r w:rsidRPr="00036C32">
        <w:rPr>
          <w:rFonts w:ascii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134"/>
        <w:gridCol w:w="4961"/>
      </w:tblGrid>
      <w:tr w:rsidR="00273AED" w:rsidRPr="001D5438" w:rsidTr="00561A92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273AED" w:rsidRPr="001D5438" w:rsidTr="00561A92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273AED" w:rsidRPr="001D5438" w:rsidTr="00561A92">
        <w:trPr>
          <w:trHeight w:val="4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12 druhov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Acetosa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Acetosella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Agrostis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capillaris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Alchemilla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sp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Anthoxanthum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odoratum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Campanula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patula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hirta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pallescens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carvi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Cerastium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holosteoides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Colchicum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autumnale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Crepis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biennis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Cruciata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glabra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Cynosurus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cristatus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Dactylis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glomerata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Daucus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carota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Deschampsia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cespitosa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Equisetum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rubra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Fragaria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viridis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mollugo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maculatum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phrygia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Knautia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Lathyrus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autumnalis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Leucanthemum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Lotus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corniculatus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Luzula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campestris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Lychnis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flos-cuculi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Myosotis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Origanum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Pastinaca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sativa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Pilosella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officinarum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lanceolata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Polygala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argentea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erecta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reptans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polyanthemos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Ranunculus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Rhinanthus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Salvia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minor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varia, Silene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Stellaria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graminea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Taraxacum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officinale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Thymus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pulegioides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Tithymalus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cyparissias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Tragopogon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orientalis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Trisetum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flavescens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Veronica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273AED" w:rsidRPr="001D5438" w:rsidTr="00561A92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30 %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273AED" w:rsidRPr="001D5438" w:rsidTr="00561A92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15%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zastúpenie nepôvodných a 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druhov</w:t>
            </w:r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gigantea</w:t>
            </w:r>
            <w:bookmarkStart w:id="0" w:name="_GoBack"/>
            <w:bookmarkEnd w:id="0"/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Stenactis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annua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</w:tbl>
    <w:p w:rsidR="00273AED" w:rsidRDefault="00273AED" w:rsidP="008E0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ED" w:rsidRPr="001D5438" w:rsidRDefault="00273AED" w:rsidP="008E0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D5438">
        <w:rPr>
          <w:rFonts w:ascii="Times New Roman" w:eastAsia="Times New Roman" w:hAnsi="Times New Roman" w:cs="Times New Roman"/>
          <w:sz w:val="24"/>
          <w:szCs w:val="24"/>
          <w:lang w:eastAsia="sk-SK"/>
        </w:rPr>
        <w:t>Zachovanie stavu biotopu</w:t>
      </w:r>
      <w:r w:rsidRPr="001D543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Sk6 (* 8160) Nespevnené </w:t>
      </w:r>
      <w:proofErr w:type="spellStart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sutiny v montánnom až </w:t>
      </w:r>
      <w:proofErr w:type="spellStart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kolínnom</w:t>
      </w:r>
      <w:proofErr w:type="spellEnd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stupni </w:t>
      </w:r>
      <w:r w:rsidRPr="001D5438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379"/>
        <w:gridCol w:w="993"/>
        <w:gridCol w:w="4252"/>
      </w:tblGrid>
      <w:tr w:rsidR="00273AED" w:rsidRPr="001D5438" w:rsidTr="00032783">
        <w:trPr>
          <w:trHeight w:val="705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379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0,86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m</w:t>
            </w:r>
            <w:r w:rsidRPr="0003278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4 druhy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Charakteristické/typické druhové zloženie:</w:t>
            </w:r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Cystopteris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fragilis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Dalanum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angustifolium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Epilobium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montanum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album,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Galium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anisophyllon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Geranium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robertianum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Gymnocarpoum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robertianum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Microrrhinum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minus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Origanum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Sedum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album, Silene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Valeriana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tripteris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Vincetoxicum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hirundinaria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.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1 %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sutinách.</w:t>
            </w:r>
          </w:p>
        </w:tc>
      </w:tr>
      <w:tr w:rsidR="00273AED" w:rsidRPr="001D5438" w:rsidTr="00032783">
        <w:trPr>
          <w:trHeight w:val="290"/>
        </w:trPr>
        <w:tc>
          <w:tcPr>
            <w:tcW w:w="2510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:rsidR="00273AED" w:rsidRDefault="00273AED" w:rsidP="008E0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ED" w:rsidRPr="001D5438" w:rsidRDefault="00273AED" w:rsidP="008E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Zachovanie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Sk1 (8210) </w:t>
      </w:r>
      <w:proofErr w:type="spellStart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Karbonátové</w:t>
      </w:r>
      <w:proofErr w:type="spellEnd"/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skalné steny a svahy so štrbinovou vegetáciou</w:t>
      </w:r>
      <w:r w:rsidRPr="001D54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1690"/>
        <w:gridCol w:w="800"/>
        <w:gridCol w:w="4134"/>
      </w:tblGrid>
      <w:tr w:rsidR="00273AED" w:rsidRPr="001D5438" w:rsidTr="00561A92">
        <w:trPr>
          <w:trHeight w:val="482"/>
        </w:trPr>
        <w:tc>
          <w:tcPr>
            <w:tcW w:w="2510" w:type="dxa"/>
            <w:shd w:val="clear" w:color="auto" w:fill="auto"/>
            <w:hideMark/>
          </w:tcPr>
          <w:p w:rsidR="00273AED" w:rsidRPr="001D5438" w:rsidRDefault="00273AED" w:rsidP="008E0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690" w:type="dxa"/>
            <w:shd w:val="clear" w:color="auto" w:fill="auto"/>
            <w:hideMark/>
          </w:tcPr>
          <w:p w:rsidR="00273AED" w:rsidRPr="001D5438" w:rsidRDefault="00273AED" w:rsidP="008E0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Merateľný indikátor</w:t>
            </w:r>
          </w:p>
        </w:tc>
        <w:tc>
          <w:tcPr>
            <w:tcW w:w="800" w:type="dxa"/>
            <w:shd w:val="clear" w:color="auto" w:fill="auto"/>
            <w:hideMark/>
          </w:tcPr>
          <w:p w:rsidR="00273AED" w:rsidRPr="001D5438" w:rsidRDefault="00273AED" w:rsidP="008E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134" w:type="dxa"/>
            <w:shd w:val="clear" w:color="auto" w:fill="auto"/>
            <w:hideMark/>
          </w:tcPr>
          <w:p w:rsidR="00273AED" w:rsidRPr="001D5438" w:rsidRDefault="00273AED" w:rsidP="008E0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Poznámky/Doplňujúce informácie</w:t>
            </w:r>
          </w:p>
        </w:tc>
      </w:tr>
      <w:tr w:rsidR="00273AED" w:rsidRPr="001D5438" w:rsidTr="00561A92">
        <w:trPr>
          <w:trHeight w:val="290"/>
        </w:trPr>
        <w:tc>
          <w:tcPr>
            <w:tcW w:w="2510" w:type="dxa"/>
            <w:shd w:val="clear" w:color="auto" w:fill="auto"/>
            <w:vAlign w:val="bottom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690" w:type="dxa"/>
            <w:shd w:val="clear" w:color="auto" w:fill="auto"/>
            <w:vAlign w:val="bottom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273AED" w:rsidRPr="001D5438" w:rsidRDefault="00273AED" w:rsidP="008E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0,4</w:t>
            </w:r>
          </w:p>
        </w:tc>
        <w:tc>
          <w:tcPr>
            <w:tcW w:w="4134" w:type="dxa"/>
            <w:shd w:val="clear" w:color="auto" w:fill="auto"/>
            <w:vAlign w:val="bottom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273AED" w:rsidRPr="001D5438" w:rsidTr="00561A92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  m</w:t>
            </w: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najmenej 3 druhy</w:t>
            </w:r>
          </w:p>
        </w:tc>
        <w:tc>
          <w:tcPr>
            <w:tcW w:w="4134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ruta-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muraria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trichomanes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viride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Campanula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trachelium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Cystopteris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fragilis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Erysimum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sp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Festuca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pallens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Jovibarba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globifera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subsp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glabrescens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Primula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auricula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Valeriana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tripteris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.</w:t>
            </w:r>
          </w:p>
        </w:tc>
      </w:tr>
      <w:tr w:rsidR="00273AED" w:rsidRPr="001D5438" w:rsidTr="00561A92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10 %</w:t>
            </w:r>
          </w:p>
        </w:tc>
        <w:tc>
          <w:tcPr>
            <w:tcW w:w="4134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273AED" w:rsidRPr="001D5438" w:rsidTr="00561A92">
        <w:trPr>
          <w:trHeight w:val="290"/>
        </w:trPr>
        <w:tc>
          <w:tcPr>
            <w:tcW w:w="251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69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</w:t>
            </w: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4134" w:type="dxa"/>
            <w:shd w:val="clear" w:color="auto" w:fill="auto"/>
            <w:vAlign w:val="bottom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:rsidR="00273AED" w:rsidRPr="001D5438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ED" w:rsidRPr="001D5438" w:rsidRDefault="00273AED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438">
        <w:rPr>
          <w:rFonts w:ascii="Times New Roman" w:hAnsi="Times New Roman" w:cs="Times New Roman"/>
          <w:sz w:val="24"/>
          <w:szCs w:val="24"/>
        </w:rPr>
        <w:t xml:space="preserve">Zachovanie priaznivého stavu biotopu </w:t>
      </w:r>
      <w:r w:rsidRPr="001D5438">
        <w:rPr>
          <w:rFonts w:ascii="Times New Roman" w:hAnsi="Times New Roman" w:cs="Times New Roman"/>
          <w:b/>
          <w:sz w:val="24"/>
          <w:szCs w:val="24"/>
        </w:rPr>
        <w:t xml:space="preserve">SK8 (8310) </w:t>
      </w:r>
      <w:r w:rsidRPr="001D543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Nesprístupnené jaskynné útvary</w:t>
      </w:r>
      <w:r w:rsidRPr="001D54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  <w:r w:rsidRPr="001D543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4819"/>
      </w:tblGrid>
      <w:tr w:rsidR="00273AED" w:rsidRPr="001D5438" w:rsidTr="00561A92">
        <w:trPr>
          <w:trHeight w:val="448"/>
        </w:trPr>
        <w:tc>
          <w:tcPr>
            <w:tcW w:w="1702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543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73AED" w:rsidRPr="001D5438" w:rsidTr="00561A92">
        <w:trPr>
          <w:trHeight w:val="290"/>
        </w:trPr>
        <w:tc>
          <w:tcPr>
            <w:tcW w:w="1702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biotopu, bez poškodení vstupov do jaskynných priestorov. </w:t>
            </w:r>
          </w:p>
        </w:tc>
      </w:tr>
      <w:tr w:rsidR="00273AED" w:rsidRPr="001D5438" w:rsidTr="00561A92">
        <w:trPr>
          <w:trHeight w:val="290"/>
        </w:trPr>
        <w:tc>
          <w:tcPr>
            <w:tcW w:w="1702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Neprístupnosť biotopu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osôb/mesiac/</w:t>
            </w:r>
          </w:p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jaskynný útvar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73AED" w:rsidRPr="001D5438" w:rsidRDefault="00273AED" w:rsidP="008E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54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Minimálna až žiadna návštevnosť lokalít (výlučne za účelom prieskumu).</w:t>
            </w:r>
          </w:p>
        </w:tc>
      </w:tr>
    </w:tbl>
    <w:p w:rsidR="00876D18" w:rsidRDefault="00876D18" w:rsidP="008E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ED" w:rsidRPr="00B14258" w:rsidRDefault="00273AED" w:rsidP="008E015A">
      <w:pPr>
        <w:pStyle w:val="Zkladntext"/>
        <w:widowControl w:val="0"/>
        <w:jc w:val="left"/>
        <w:rPr>
          <w:rFonts w:asciiTheme="majorHAnsi" w:hAnsiTheme="majorHAnsi" w:cstheme="majorHAnsi"/>
        </w:rPr>
      </w:pPr>
      <w:r w:rsidRPr="00036C32">
        <w:rPr>
          <w:b w:val="0"/>
        </w:rPr>
        <w:t xml:space="preserve">Zlepšenie stavu druhu </w:t>
      </w:r>
      <w:proofErr w:type="spellStart"/>
      <w:r w:rsidRPr="00036C32">
        <w:rPr>
          <w:i/>
        </w:rPr>
        <w:t>Cypripedium</w:t>
      </w:r>
      <w:proofErr w:type="spellEnd"/>
      <w:r w:rsidRPr="00036C32">
        <w:rPr>
          <w:i/>
        </w:rPr>
        <w:t xml:space="preserve"> </w:t>
      </w:r>
      <w:proofErr w:type="spellStart"/>
      <w:r w:rsidRPr="00036C32">
        <w:rPr>
          <w:i/>
        </w:rPr>
        <w:t>calceolus</w:t>
      </w:r>
      <w:proofErr w:type="spellEnd"/>
      <w:r w:rsidRPr="00036C32">
        <w:rPr>
          <w:i/>
        </w:rPr>
        <w:t xml:space="preserve"> </w:t>
      </w:r>
      <w:r w:rsidRPr="00036C32">
        <w:rPr>
          <w:b w:val="0"/>
        </w:rPr>
        <w:t>za splnenia nasledovných atribútov</w:t>
      </w:r>
      <w:r w:rsidRPr="00B14258">
        <w:rPr>
          <w:rFonts w:asciiTheme="majorHAnsi" w:hAnsiTheme="majorHAnsi" w:cstheme="majorHAnsi"/>
          <w:b w:val="0"/>
        </w:rPr>
        <w:t>.</w:t>
      </w:r>
    </w:p>
    <w:tbl>
      <w:tblPr>
        <w:tblW w:w="9151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0"/>
        <w:gridCol w:w="1418"/>
        <w:gridCol w:w="1701"/>
        <w:gridCol w:w="4252"/>
      </w:tblGrid>
      <w:tr w:rsidR="00273AED" w:rsidRPr="00B14258" w:rsidTr="00561A92">
        <w:trPr>
          <w:trHeight w:val="3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73AED" w:rsidRPr="00B14258" w:rsidTr="00561A92">
        <w:trPr>
          <w:trHeight w:val="27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Potrebný monitoring populácie druhu, v súčasnosti nie je evidovaná lokalita s výskytom druhu v tomto území.</w:t>
            </w:r>
          </w:p>
        </w:tc>
      </w:tr>
      <w:tr w:rsidR="00273AED" w:rsidRPr="00B14258" w:rsidTr="00561A92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0,25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výmeru biotopu druhu</w:t>
            </w:r>
          </w:p>
        </w:tc>
      </w:tr>
      <w:tr w:rsidR="00273AED" w:rsidRPr="00B14258" w:rsidTr="00561A92">
        <w:trPr>
          <w:trHeight w:val="9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Fagus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sylvatica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Cephalanthera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damasonium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Polygonatum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multiflorum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Cytisus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nigricans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(syn.),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Cruciata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glabra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Colymbada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scabiosa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Brachypodium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pinnatum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Astragalus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glycyphyllos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,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Asarum</w:t>
            </w:r>
            <w:proofErr w:type="spellEnd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 xml:space="preserve"> </w:t>
            </w:r>
            <w:proofErr w:type="spellStart"/>
            <w:r w:rsidRPr="00B14258">
              <w:rPr>
                <w:rFonts w:ascii="Times New Roman" w:hAnsi="Times New Roman" w:cs="Times New Roman"/>
                <w:i/>
                <w:color w:val="333333"/>
                <w:sz w:val="19"/>
                <w:szCs w:val="19"/>
                <w:shd w:val="clear" w:color="auto" w:fill="FAFBFA"/>
              </w:rPr>
              <w:t>europaeum</w:t>
            </w:r>
            <w:proofErr w:type="spellEnd"/>
          </w:p>
        </w:tc>
      </w:tr>
      <w:tr w:rsidR="00273AED" w:rsidTr="00561A92">
        <w:trPr>
          <w:trHeight w:val="9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B14258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Zastúpenie krovinovej etáže v % / 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B14258" w:rsidRDefault="00273AED" w:rsidP="008E01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142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40 % / ha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AED" w:rsidRPr="00E534A1" w:rsidRDefault="00273AED" w:rsidP="008E01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</w:pPr>
            <w:r w:rsidRPr="00B14258">
              <w:rPr>
                <w:rFonts w:ascii="Times New Roman" w:hAnsi="Times New Roman" w:cs="Times New Roman"/>
                <w:color w:val="333333"/>
                <w:sz w:val="19"/>
                <w:szCs w:val="19"/>
                <w:shd w:val="clear" w:color="auto" w:fill="FAFBFA"/>
              </w:rPr>
              <w:t>Menšie zastúpenie krovinovej etáže na lokalitách druhu (presvetlené biotopy)</w:t>
            </w:r>
          </w:p>
        </w:tc>
      </w:tr>
    </w:tbl>
    <w:p w:rsidR="00273AED" w:rsidRDefault="00273AED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36C32" w:rsidRDefault="00036C32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036C32" w:rsidRDefault="00036C32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3E3F8E" w:rsidRPr="00802A9C" w:rsidRDefault="003E3F8E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Rhinolophus</w:t>
      </w:r>
      <w:proofErr w:type="spellEnd"/>
      <w:r w:rsidRPr="009B7A4C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hipposideros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3E3F8E" w:rsidRPr="00626A09" w:rsidTr="00032783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B14339" w:rsidTr="00032783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802A9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</w:t>
            </w:r>
            <w:r w:rsidRPr="004F232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dhaduje sa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0 až 50 jedincov v rámci celého ÚEV na zimoviskách), je potrebný monitoring stavu populácie druhu.</w:t>
            </w:r>
          </w:p>
        </w:tc>
      </w:tr>
      <w:tr w:rsidR="003E3F8E" w:rsidRPr="00B14339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6E26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6E26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2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výskyty zimoviska uvedeného druhu.</w:t>
            </w:r>
          </w:p>
        </w:tc>
      </w:tr>
      <w:tr w:rsidR="003E3F8E" w:rsidRPr="00B14339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ozl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oha potenciálneho potravného </w:t>
            </w: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r w:rsidRPr="00B14339"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Pr="00B143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3E3F8E" w:rsidRDefault="003E3F8E" w:rsidP="008E015A">
      <w:pPr>
        <w:spacing w:after="0" w:line="240" w:lineRule="auto"/>
        <w:rPr>
          <w:rFonts w:ascii="Times New Roman" w:hAnsi="Times New Roman"/>
        </w:rPr>
      </w:pPr>
    </w:p>
    <w:p w:rsidR="003E3F8E" w:rsidRPr="009B7A4C" w:rsidRDefault="003E3F8E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Barbastella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barbastellus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3E3F8E" w:rsidTr="00032783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Tr="00032783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10 až 50 jedincov v rámci celého ÚEV na zimoviskách), je potrebný monitoring stavu populácie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6E26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neevidujeme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3E3F8E" w:rsidRPr="009B7A4C" w:rsidRDefault="003E3F8E" w:rsidP="008E0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F8E" w:rsidRPr="00802A9C" w:rsidRDefault="003E3F8E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3E3F8E" w:rsidTr="00032783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Tr="00032783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70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50 až 70 jedincov v rámci celého ÚEV na zimoviskách), je potrebný monitoring stavu populácie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6E26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1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uvedeného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3E3F8E" w:rsidRDefault="003E3F8E" w:rsidP="008E01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3F8E" w:rsidRPr="009B7A4C" w:rsidRDefault="003E3F8E" w:rsidP="008E015A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druhu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Myotis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>bechsteinii</w:t>
      </w:r>
      <w:proofErr w:type="spellEnd"/>
      <w:r w:rsidRPr="009B7A4C">
        <w:rPr>
          <w:rFonts w:ascii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 splnenia nasledovných atribútov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559"/>
        <w:gridCol w:w="5245"/>
      </w:tblGrid>
      <w:tr w:rsidR="003E3F8E" w:rsidTr="00032783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Tr="00032783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0 až 5 jedincov v rámci celého ÚEV na zimoviskách), je potrebný monitoring stavu populácie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Pr="006E2639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 súčasnosti evidujeme 1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známe výskyty zimoviska uvedeného druhu.</w:t>
            </w:r>
          </w:p>
        </w:tc>
      </w:tr>
      <w:tr w:rsidR="003E3F8E" w:rsidTr="00032783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Rozloha potenciálneho potravného biotopu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8E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Lesné biotopy v území – poskytujú lokality na rozmnožovanie, potravné biotopy a úkrytové biotopy.</w:t>
            </w:r>
          </w:p>
        </w:tc>
      </w:tr>
    </w:tbl>
    <w:p w:rsidR="003E3F8E" w:rsidRDefault="003E3F8E" w:rsidP="008E015A">
      <w:pPr>
        <w:pStyle w:val="Zkladntext"/>
        <w:widowControl w:val="0"/>
        <w:ind w:left="-284"/>
        <w:jc w:val="left"/>
        <w:rPr>
          <w:b w:val="0"/>
        </w:rPr>
      </w:pPr>
    </w:p>
    <w:p w:rsidR="003E3F8E" w:rsidRDefault="003E3F8E" w:rsidP="008E015A">
      <w:pPr>
        <w:pStyle w:val="Zkladntext"/>
        <w:widowControl w:val="0"/>
        <w:ind w:left="-284"/>
        <w:jc w:val="left"/>
        <w:rPr>
          <w:i/>
          <w:sz w:val="20"/>
          <w:szCs w:val="20"/>
        </w:rPr>
      </w:pPr>
      <w:r>
        <w:rPr>
          <w:b w:val="0"/>
        </w:rPr>
        <w:t xml:space="preserve">Zlepšenie stavu druhu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lynx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0362A0" w:rsidTr="00032783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3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Odhadnu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tý počet jedincov v súčasnosti 1 – 3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, potrebné zvýšenie početnosti populácie</w:t>
            </w:r>
          </w:p>
        </w:tc>
      </w:tr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860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Výmera potenciálneho biotopu je stanovená v starších lesoch, nie v holinách a monokultúrnych porastoch. </w:t>
            </w:r>
          </w:p>
        </w:tc>
      </w:tr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Kvalita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odiel lesov starších ako 60 rokov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Minimálny podiel 6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</w:p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Lesy dôležité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 trvalú existenciu druhu, ktoré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poskytjú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potravné ale aj úkrytové možnosti druhu. </w:t>
            </w:r>
          </w:p>
        </w:tc>
      </w:tr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Umožnené prepojenie populácií s 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="00A17F84"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 xml:space="preserve">0238 </w:t>
            </w:r>
            <w:r w:rsidR="00A17F84"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Veľká Fatra, 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="00A17F84"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0302 Ďumbierske Tatry, SKUEV0319 Poľana.</w:t>
            </w:r>
          </w:p>
        </w:tc>
      </w:tr>
    </w:tbl>
    <w:p w:rsidR="003E3F8E" w:rsidRDefault="003E3F8E" w:rsidP="008E015A">
      <w:pPr>
        <w:pStyle w:val="Zkladntext"/>
        <w:widowControl w:val="0"/>
        <w:jc w:val="left"/>
        <w:rPr>
          <w:b w:val="0"/>
        </w:rPr>
      </w:pPr>
    </w:p>
    <w:p w:rsidR="003E3F8E" w:rsidRPr="004C1BD8" w:rsidRDefault="003E3F8E" w:rsidP="008E015A">
      <w:pPr>
        <w:pStyle w:val="Zkladntext"/>
        <w:widowControl w:val="0"/>
        <w:ind w:left="-284"/>
        <w:jc w:val="left"/>
        <w:rPr>
          <w:b w:val="0"/>
        </w:rPr>
      </w:pPr>
      <w:r w:rsidRPr="00251485">
        <w:rPr>
          <w:b w:val="0"/>
        </w:rPr>
        <w:t>Zachovanie stavu</w:t>
      </w:r>
      <w:r>
        <w:rPr>
          <w:b w:val="0"/>
        </w:rPr>
        <w:t xml:space="preserve"> druhu </w:t>
      </w:r>
      <w:proofErr w:type="spellStart"/>
      <w:r>
        <w:rPr>
          <w:i/>
        </w:rPr>
        <w:t>Ursus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arctos</w:t>
      </w:r>
      <w:proofErr w:type="spellEnd"/>
      <w:r>
        <w:rPr>
          <w:i/>
        </w:rPr>
        <w:t xml:space="preserve"> </w:t>
      </w:r>
      <w:r w:rsidRPr="000362A0">
        <w:rPr>
          <w:b w:val="0"/>
        </w:rPr>
        <w:t>za splnenia nasledovných atribútov</w:t>
      </w:r>
      <w:r>
        <w:rPr>
          <w:b w:val="0"/>
        </w:rPr>
        <w:t>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 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560"/>
        <w:gridCol w:w="5103"/>
      </w:tblGrid>
      <w:tr w:rsidR="003E3F8E" w:rsidRPr="000362A0" w:rsidTr="00032783">
        <w:trPr>
          <w:trHeight w:val="28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E3F8E" w:rsidRPr="000362A0" w:rsidTr="00032783">
        <w:trPr>
          <w:trHeight w:val="435"/>
        </w:trPr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populácie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Počet rezidentných jedincov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3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Odhadnutý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počet jedincov v súčasnosti je 1 – 5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eľkosť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860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výmera potenciálneho biotopu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(so zastúpením lesných porastov, lúčnych biotopov), kde má druh dostatok potravy a úkrytových možností. Nie je potrebné vzhľadom k nárokom druhu definovať kvalitu biotopu.</w:t>
            </w:r>
          </w:p>
        </w:tc>
      </w:tr>
      <w:tr w:rsidR="003E3F8E" w:rsidRPr="000362A0" w:rsidTr="00032783">
        <w:tc>
          <w:tcPr>
            <w:tcW w:w="17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repojenosť populácií (migrácia)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Existencia migračných koridorov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Zachované migračné koridory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3F8E" w:rsidRPr="009B7A4C" w:rsidRDefault="003E3F8E" w:rsidP="008E01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Umožnené prepojenie populácií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0238</w:t>
            </w:r>
            <w:r w:rsidR="00036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 xml:space="preserve">Veľká Fatra, 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 w:rsidRPr="009B7A4C">
              <w:rPr>
                <w:rFonts w:ascii="Times New Roman" w:hAnsi="Times New Roman" w:cs="Times New Roman"/>
                <w:sz w:val="20"/>
                <w:szCs w:val="20"/>
              </w:rPr>
              <w:t>UEV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</w:t>
            </w:r>
            <w:r w:rsidR="00036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Ďumbierske Tatry, </w:t>
            </w:r>
            <w:r w:rsidR="00A17F84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UEV0319</w:t>
            </w:r>
            <w:r w:rsidR="00036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Poľana.</w:t>
            </w:r>
          </w:p>
        </w:tc>
      </w:tr>
    </w:tbl>
    <w:p w:rsidR="003E3F8E" w:rsidRDefault="003E3F8E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5644" w:rsidRPr="0097165E" w:rsidRDefault="00FC5644" w:rsidP="008E015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65E">
        <w:rPr>
          <w:rFonts w:ascii="Times New Roman" w:eastAsia="Calibri" w:hAnsi="Times New Roman" w:cs="Times New Roman"/>
          <w:color w:val="000000"/>
          <w:sz w:val="24"/>
          <w:szCs w:val="24"/>
        </w:rPr>
        <w:t>Zlepšenie stavu druhu</w:t>
      </w:r>
      <w:r w:rsidRPr="009716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1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71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971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variegata</w:t>
      </w:r>
      <w:proofErr w:type="spellEnd"/>
      <w:r w:rsidRPr="009716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71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4536"/>
      </w:tblGrid>
      <w:tr w:rsidR="00FC5644" w:rsidRPr="0097165E" w:rsidTr="00A17F84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C5644" w:rsidRPr="0097165E" w:rsidTr="00A17F84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</w:t>
            </w:r>
            <w:proofErr w:type="spellStart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adult</w:t>
            </w:r>
            <w:proofErr w:type="spellEnd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1500 jedincov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populácie v území 50 – 1500 jedincov (</w:t>
            </w:r>
            <w:proofErr w:type="spellStart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aktuály</w:t>
            </w:r>
            <w:proofErr w:type="spellEnd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FC5644" w:rsidRPr="0097165E" w:rsidTr="00A17F84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Min.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Nepravidelný výskyt, potrebné</w:t>
            </w: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zvýšenie počtu vytvorením nových lokalít druhu s vhodnými podmienkami pre reprodukciu.</w:t>
            </w:r>
          </w:p>
        </w:tc>
      </w:tr>
      <w:tr w:rsidR="00FC5644" w:rsidRPr="0097165E" w:rsidTr="00A17F84">
        <w:trPr>
          <w:trHeight w:val="9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44" w:rsidRPr="0097165E" w:rsidRDefault="00FC564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97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cestách a mlákach.</w:t>
            </w:r>
          </w:p>
        </w:tc>
      </w:tr>
    </w:tbl>
    <w:p w:rsidR="00FC5644" w:rsidRDefault="00FC5644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17F84" w:rsidRDefault="00A17F84" w:rsidP="008E01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64DDF" w:rsidRPr="00D67762" w:rsidRDefault="00A64DDF" w:rsidP="008E01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D67762">
        <w:rPr>
          <w:rFonts w:ascii="Times New Roman" w:eastAsia="Calibri" w:hAnsi="Times New Roman" w:cs="Times New Roman"/>
        </w:rPr>
        <w:t xml:space="preserve">Zlepšenie stavu druhu </w:t>
      </w:r>
      <w:proofErr w:type="spellStart"/>
      <w:r w:rsidRPr="00D67762">
        <w:rPr>
          <w:rFonts w:ascii="Times New Roman" w:eastAsia="Calibri" w:hAnsi="Times New Roman" w:cs="Times New Roman"/>
          <w:b/>
          <w:i/>
          <w:szCs w:val="24"/>
        </w:rPr>
        <w:t>Callimorpha</w:t>
      </w:r>
      <w:proofErr w:type="spellEnd"/>
      <w:r w:rsidRPr="00D67762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proofErr w:type="spellStart"/>
      <w:r w:rsidRPr="00D67762">
        <w:rPr>
          <w:rFonts w:ascii="Times New Roman" w:eastAsia="Calibri" w:hAnsi="Times New Roman" w:cs="Times New Roman"/>
          <w:b/>
          <w:i/>
          <w:szCs w:val="24"/>
        </w:rPr>
        <w:t>quadripunctaria</w:t>
      </w:r>
      <w:proofErr w:type="spellEnd"/>
      <w:r w:rsidRPr="00D67762">
        <w:rPr>
          <w:rFonts w:ascii="Times New Roman" w:eastAsia="Calibri" w:hAnsi="Times New Roman" w:cs="Times New Roman"/>
          <w:szCs w:val="24"/>
        </w:rPr>
        <w:t xml:space="preserve"> za splnenia nasledovných atribútov</w:t>
      </w:r>
      <w:r w:rsidRPr="00D67762">
        <w:rPr>
          <w:rFonts w:ascii="Times New Roman" w:eastAsia="Calibri" w:hAnsi="Times New Roman" w:cs="Times New Roman"/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A64DDF" w:rsidRPr="00A64DDF" w:rsidTr="00A64DDF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DF" w:rsidRPr="00A64DDF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D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DF" w:rsidRPr="00A64DDF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D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DDF" w:rsidRPr="00A64DDF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D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DDF" w:rsidRPr="00A64DDF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4DD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A64DDF" w:rsidRPr="00D67762" w:rsidTr="001D418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Viac ako 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DF" w:rsidRPr="00D67762" w:rsidRDefault="00A64DDF" w:rsidP="00A17F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V súčasnosti sa odhaduje veľkosť po</w:t>
            </w:r>
            <w:r w:rsidR="00A17F84">
              <w:rPr>
                <w:rFonts w:ascii="Times New Roman" w:eastAsia="Times New Roman" w:hAnsi="Times New Roman" w:cs="Times New Roman"/>
                <w:sz w:val="20"/>
                <w:szCs w:val="20"/>
              </w:rPr>
              <w:t>pulácie na  100 – 1000 jedincov</w:t>
            </w:r>
          </w:p>
        </w:tc>
      </w:tr>
      <w:tr w:rsidR="00A64DDF" w:rsidRPr="00D67762" w:rsidTr="001D4180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riedke lesy, lesné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ekotony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lesostepné a krovinaté biotopy; zachovať členité  lesné porasty s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núzkym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zápojom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svetlín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ekotonov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, výrub náletových drevín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krov</w:t>
            </w:r>
          </w:p>
        </w:tc>
      </w:tr>
      <w:tr w:rsidR="00A64DDF" w:rsidRPr="00D67762" w:rsidTr="00C24014">
        <w:trPr>
          <w:trHeight w:val="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Sambucus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ebulus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Eupatorium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cannabinum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Origanum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vulgare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i.)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pokryvnosť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min. 5 %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DF" w:rsidRPr="00D67762" w:rsidRDefault="00A64DD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Výskyt medonosných druhov – na </w:t>
            </w:r>
            <w:proofErr w:type="spellStart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>pokryvnosti</w:t>
            </w:r>
            <w:proofErr w:type="spellEnd"/>
            <w:r w:rsidRPr="00D677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biotopu</w:t>
            </w:r>
          </w:p>
        </w:tc>
      </w:tr>
    </w:tbl>
    <w:p w:rsidR="00A64DDF" w:rsidRDefault="00A64DDF" w:rsidP="008E015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530043" w:rsidRPr="00A45AB3" w:rsidRDefault="00530043" w:rsidP="008E015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5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Zlepšenie poznatkov pre zistenie stavu druhu </w:t>
      </w:r>
      <w:proofErr w:type="spellStart"/>
      <w:r w:rsidRPr="00A45AB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Carabus</w:t>
      </w:r>
      <w:proofErr w:type="spellEnd"/>
      <w:r w:rsidRPr="00A45AB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A45AB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variolosus</w:t>
      </w:r>
      <w:proofErr w:type="spellEnd"/>
      <w:r w:rsidRPr="00A45AB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A45AB3">
        <w:rPr>
          <w:rFonts w:ascii="Times New Roman" w:eastAsia="Calibri" w:hAnsi="Times New Roman" w:cs="Times New Roman"/>
          <w:color w:val="000000"/>
          <w:sz w:val="24"/>
          <w:szCs w:val="24"/>
        </w:rPr>
        <w:t>nakoľko je v súčasnosti veľkosť populácie neznáma</w:t>
      </w:r>
      <w:r w:rsidRPr="00A45A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45AB3">
        <w:rPr>
          <w:rFonts w:ascii="Times New Roman" w:eastAsia="Calibri" w:hAnsi="Times New Roman" w:cs="Times New Roman"/>
          <w:color w:val="000000"/>
          <w:sz w:val="24"/>
          <w:szCs w:val="24"/>
        </w:rPr>
        <w:t>a bude potrebný monitoring:</w:t>
      </w:r>
      <w:r w:rsidRPr="00A45AB3" w:rsidDel="009025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252"/>
      </w:tblGrid>
      <w:tr w:rsidR="00530043" w:rsidRPr="00A45AB3" w:rsidTr="00530043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30043" w:rsidRPr="00A45AB3" w:rsidTr="00530043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 je z</w:t>
            </w:r>
            <w:r w:rsidRPr="00494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istenie veľkosti populácie cez komplexnejší monitori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ng – založením trvalých monitoro</w:t>
            </w:r>
            <w:r w:rsidRPr="00494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vacích plôch a prieskumom v priebehu 3 rokov.</w:t>
            </w:r>
          </w:p>
        </w:tc>
      </w:tr>
      <w:tr w:rsidR="00530043" w:rsidRPr="00A45AB3" w:rsidTr="00530043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Neznámy, bude definovaný po 3 ročnom monitoringu stavu populácie v území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43" w:rsidRPr="00A45AB3" w:rsidRDefault="00530043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45A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:rsidR="00530043" w:rsidRPr="00530043" w:rsidRDefault="00530043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67821" w:rsidRPr="00CA786E" w:rsidRDefault="00067821" w:rsidP="008E015A">
      <w:pPr>
        <w:spacing w:after="0" w:line="240" w:lineRule="auto"/>
        <w:contextualSpacing/>
        <w:rPr>
          <w:rFonts w:ascii="Arial" w:eastAsia="Calibri" w:hAnsi="Arial" w:cs="Arial"/>
        </w:rPr>
      </w:pPr>
      <w:r w:rsidRPr="00CA786E">
        <w:rPr>
          <w:rFonts w:ascii="Times New Roman" w:eastAsia="Calibri" w:hAnsi="Times New Roman" w:cs="Times New Roman"/>
        </w:rPr>
        <w:t xml:space="preserve">Zlepšenie stavu druhu </w:t>
      </w:r>
      <w:proofErr w:type="spellStart"/>
      <w:r w:rsidRPr="00CA786E">
        <w:rPr>
          <w:rFonts w:ascii="Times New Roman" w:eastAsia="Calibri" w:hAnsi="Times New Roman" w:cs="Times New Roman"/>
          <w:b/>
          <w:i/>
        </w:rPr>
        <w:t>Eriogaster</w:t>
      </w:r>
      <w:proofErr w:type="spellEnd"/>
      <w:r w:rsidRPr="00CA786E">
        <w:rPr>
          <w:rFonts w:ascii="Times New Roman" w:eastAsia="Calibri" w:hAnsi="Times New Roman" w:cs="Times New Roman"/>
          <w:b/>
          <w:i/>
        </w:rPr>
        <w:t xml:space="preserve"> </w:t>
      </w:r>
      <w:proofErr w:type="spellStart"/>
      <w:r w:rsidRPr="00CA786E">
        <w:rPr>
          <w:rFonts w:ascii="Times New Roman" w:eastAsia="Calibri" w:hAnsi="Times New Roman" w:cs="Times New Roman"/>
          <w:b/>
          <w:i/>
        </w:rPr>
        <w:t>catax</w:t>
      </w:r>
      <w:proofErr w:type="spellEnd"/>
      <w:r w:rsidRPr="00CA786E">
        <w:rPr>
          <w:rFonts w:ascii="Times New Roman" w:eastAsia="Calibri" w:hAnsi="Times New Roman" w:cs="Times New Roman"/>
          <w:b/>
          <w:i/>
        </w:rPr>
        <w:t xml:space="preserve"> </w:t>
      </w:r>
      <w:r w:rsidRPr="00CA786E">
        <w:rPr>
          <w:rFonts w:ascii="Times New Roman" w:eastAsia="Calibri" w:hAnsi="Times New Roman" w:cs="Times New Roman"/>
          <w:szCs w:val="24"/>
        </w:rPr>
        <w:t>za splnenia nasledovných atribútov:</w:t>
      </w: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6"/>
        <w:gridCol w:w="1280"/>
        <w:gridCol w:w="1530"/>
        <w:gridCol w:w="4266"/>
      </w:tblGrid>
      <w:tr w:rsidR="00067821" w:rsidRPr="00CA786E" w:rsidTr="001D4180">
        <w:trPr>
          <w:trHeight w:val="53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067821" w:rsidRPr="00CA786E" w:rsidTr="001D4180">
        <w:trPr>
          <w:trHeight w:val="553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 území je evidovaný len marginálny výskyt druhu – náhodný výskyt 1 jedinca, je nevyhnutné zvýšenie početnosti populácie druhu. </w:t>
            </w:r>
          </w:p>
        </w:tc>
      </w:tr>
      <w:tr w:rsidR="00067821" w:rsidRPr="00CA786E" w:rsidTr="001D4180">
        <w:trPr>
          <w:trHeight w:val="441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Udržanie výmery biotopu - krovinaté biotopy, riedke lesy, lesné </w:t>
            </w:r>
            <w:proofErr w:type="spellStart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</w:tr>
      <w:tr w:rsidR="00067821" w:rsidRPr="00CA786E" w:rsidTr="001D4180">
        <w:trPr>
          <w:trHeight w:val="817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prítomnosť drevín a krov v 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max. 70 %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zachovanie medzí a okraje/</w:t>
            </w:r>
            <w:proofErr w:type="spellStart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ekoton</w:t>
            </w:r>
            <w:proofErr w:type="spellEnd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les-lúka ako úkryty pre </w:t>
            </w:r>
            <w:proofErr w:type="spellStart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imága</w:t>
            </w:r>
            <w:proofErr w:type="spellEnd"/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067821" w:rsidRPr="00CA786E" w:rsidTr="001D4180">
        <w:trPr>
          <w:trHeight w:val="112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% pokrytia </w:t>
            </w:r>
            <w:r w:rsidR="00A17F84"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inváznych a potenciálne inváznych drevín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821" w:rsidRPr="00CA786E" w:rsidRDefault="00067821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max. 3 % 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821" w:rsidRPr="00CA786E" w:rsidRDefault="00A17F84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Výskyt </w:t>
            </w:r>
            <w:r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inváznych a potenciálne inváznych drevín</w:t>
            </w:r>
            <w:r w:rsidR="00067821" w:rsidRPr="00CA78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na lokalite max. do 3%</w:t>
            </w:r>
          </w:p>
        </w:tc>
      </w:tr>
    </w:tbl>
    <w:p w:rsidR="001D4180" w:rsidRDefault="001D4180" w:rsidP="008E01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D4180" w:rsidRPr="00747689" w:rsidRDefault="001D4180" w:rsidP="008E01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 w:rsidRPr="00747689">
        <w:rPr>
          <w:rFonts w:ascii="Times New Roman" w:eastAsia="Calibri" w:hAnsi="Times New Roman" w:cs="Times New Roman"/>
        </w:rPr>
        <w:t xml:space="preserve">Zlepšenie stavu druhu </w:t>
      </w:r>
      <w:proofErr w:type="spellStart"/>
      <w:r w:rsidRPr="00747689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</w:t>
      </w:r>
      <w:proofErr w:type="spellEnd"/>
      <w:r w:rsidRPr="00747689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747689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cervus</w:t>
      </w:r>
      <w:proofErr w:type="spellEnd"/>
      <w:r w:rsidRPr="00747689"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747689">
        <w:rPr>
          <w:rFonts w:ascii="Times New Roman" w:eastAsia="Calibri" w:hAnsi="Times New Roman" w:cs="Times New Roman"/>
          <w:color w:val="000000"/>
        </w:rPr>
        <w:t>v súlade s nasledovnými atribútmi a cieľovými hodnotami.</w:t>
      </w:r>
    </w:p>
    <w:tbl>
      <w:tblPr>
        <w:tblW w:w="95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572"/>
      </w:tblGrid>
      <w:tr w:rsidR="001D4180" w:rsidRPr="001D4180" w:rsidTr="001D418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80" w:rsidRPr="001D4180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4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80" w:rsidRPr="001D4180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4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80" w:rsidRPr="001D4180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4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80" w:rsidRPr="001D4180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D4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1D4180" w:rsidRPr="00747689" w:rsidTr="001D418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 strom/ha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A17F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Udržiavaná veľkosť populácie, v súčasnosti odhadovaná na  veľkosť populácie 10 – 50 jedincov </w:t>
            </w:r>
          </w:p>
        </w:tc>
      </w:tr>
      <w:tr w:rsidR="001D4180" w:rsidRPr="00747689" w:rsidTr="001D4180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1D4180" w:rsidRPr="00747689" w:rsidTr="001D4180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80" w:rsidRPr="00747689" w:rsidRDefault="001D4180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47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1D4180" w:rsidRPr="00A65914" w:rsidRDefault="001D4180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65914" w:rsidRPr="00C267FC" w:rsidRDefault="00A65914" w:rsidP="008E015A">
      <w:pPr>
        <w:spacing w:after="0" w:line="240" w:lineRule="auto"/>
        <w:contextualSpacing/>
        <w:rPr>
          <w:rFonts w:ascii="Arial" w:eastAsia="Calibri" w:hAnsi="Arial" w:cs="Arial"/>
        </w:rPr>
      </w:pPr>
      <w:r w:rsidRPr="00A65914">
        <w:rPr>
          <w:rStyle w:val="markedcontent"/>
          <w:sz w:val="24"/>
          <w:szCs w:val="24"/>
        </w:rPr>
        <w:t>Zl</w:t>
      </w:r>
      <w:r w:rsidRPr="00C267FC">
        <w:rPr>
          <w:rFonts w:ascii="Times New Roman" w:eastAsia="Calibri" w:hAnsi="Times New Roman" w:cs="Times New Roman"/>
        </w:rPr>
        <w:t xml:space="preserve">epšenie stavu druhu </w:t>
      </w:r>
      <w:proofErr w:type="spellStart"/>
      <w:r w:rsidRPr="00C267FC">
        <w:rPr>
          <w:rFonts w:ascii="Times New Roman" w:eastAsia="Calibri" w:hAnsi="Times New Roman" w:cs="Times New Roman"/>
          <w:b/>
          <w:i/>
          <w:szCs w:val="24"/>
        </w:rPr>
        <w:t>Lycaena</w:t>
      </w:r>
      <w:proofErr w:type="spellEnd"/>
      <w:r w:rsidRPr="00C267FC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proofErr w:type="spellStart"/>
      <w:r w:rsidRPr="00C267FC">
        <w:rPr>
          <w:rFonts w:ascii="Times New Roman" w:eastAsia="Calibri" w:hAnsi="Times New Roman" w:cs="Times New Roman"/>
          <w:b/>
          <w:i/>
          <w:szCs w:val="24"/>
        </w:rPr>
        <w:t>dispar</w:t>
      </w:r>
      <w:proofErr w:type="spellEnd"/>
      <w:r w:rsidRPr="00C267FC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C267FC">
        <w:rPr>
          <w:rFonts w:ascii="Times New Roman" w:eastAsia="Calibri" w:hAnsi="Times New Roman" w:cs="Times New Roman"/>
          <w:szCs w:val="24"/>
        </w:rPr>
        <w:t>za splnenia nasledovných atribútov:</w:t>
      </w:r>
    </w:p>
    <w:tbl>
      <w:tblPr>
        <w:tblW w:w="5157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275"/>
        <w:gridCol w:w="1560"/>
        <w:gridCol w:w="4535"/>
      </w:tblGrid>
      <w:tr w:rsidR="00A65914" w:rsidRPr="00A65914" w:rsidTr="00A65914">
        <w:trPr>
          <w:trHeight w:val="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A65914" w:rsidRPr="00A65914" w:rsidTr="00A65914">
        <w:trPr>
          <w:trHeight w:val="31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jedincov (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Zvýšenie početnosti populácie, v súčasnosti sa odhaduje na 0 až 10 jedincov.  </w:t>
            </w:r>
            <w:r w:rsidRPr="00A659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A65914" w:rsidRPr="00A65914" w:rsidTr="00A65914">
        <w:trPr>
          <w:trHeight w:val="93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nižšie a stredné polohy pozdĺž vodných tokov a brehové porasty s výskytom štiavu (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A65914" w:rsidRPr="00A65914" w:rsidTr="00A65914">
        <w:trPr>
          <w:trHeight w:val="155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- zachovanie lúčnej vegetácie a pobrežných nelesných porastov s živnou rastlinou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výskytu druhu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14" w:rsidRPr="00A65914" w:rsidRDefault="00A65914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zachovanie lúčnej vegetácie a pobrežných nelesných porastov s hostiteľskou rastlinou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</w:t>
            </w:r>
            <w:proofErr w:type="spellEnd"/>
            <w:r w:rsidRPr="00A6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V zastúpení min. 20 %</w:t>
            </w:r>
          </w:p>
        </w:tc>
      </w:tr>
    </w:tbl>
    <w:p w:rsidR="00A65914" w:rsidRPr="00A65914" w:rsidRDefault="00A65914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C1308F" w:rsidRPr="00A52A9D" w:rsidRDefault="00C1308F" w:rsidP="008E015A">
      <w:pPr>
        <w:spacing w:after="0" w:line="240" w:lineRule="auto"/>
        <w:contextualSpacing/>
        <w:rPr>
          <w:rFonts w:ascii="Arial" w:eastAsia="Calibri" w:hAnsi="Arial" w:cs="Arial"/>
        </w:rPr>
      </w:pPr>
      <w:r w:rsidRPr="00A52A9D">
        <w:rPr>
          <w:rFonts w:ascii="Times New Roman" w:eastAsia="Calibri" w:hAnsi="Times New Roman" w:cs="Times New Roman"/>
        </w:rPr>
        <w:t xml:space="preserve">Zlepšenie stavu druhu </w:t>
      </w:r>
      <w:proofErr w:type="spellStart"/>
      <w:r w:rsidRPr="00A52A9D">
        <w:rPr>
          <w:rFonts w:ascii="Times New Roman" w:eastAsia="Calibri" w:hAnsi="Times New Roman" w:cs="Times New Roman"/>
          <w:b/>
          <w:i/>
        </w:rPr>
        <w:t>Phenagris</w:t>
      </w:r>
      <w:proofErr w:type="spellEnd"/>
      <w:r w:rsidRPr="00A52A9D">
        <w:rPr>
          <w:rFonts w:ascii="Times New Roman" w:eastAsia="Calibri" w:hAnsi="Times New Roman" w:cs="Times New Roman"/>
          <w:i/>
        </w:rPr>
        <w:t xml:space="preserve"> (</w:t>
      </w:r>
      <w:proofErr w:type="spellStart"/>
      <w:r w:rsidRPr="00A52A9D">
        <w:rPr>
          <w:rFonts w:ascii="Times New Roman" w:eastAsia="Calibri" w:hAnsi="Times New Roman" w:cs="Times New Roman"/>
          <w:b/>
          <w:i/>
          <w:szCs w:val="24"/>
        </w:rPr>
        <w:t>Maculinea</w:t>
      </w:r>
      <w:proofErr w:type="spellEnd"/>
      <w:r w:rsidRPr="00A52A9D">
        <w:rPr>
          <w:rFonts w:ascii="Times New Roman" w:eastAsia="Calibri" w:hAnsi="Times New Roman" w:cs="Times New Roman"/>
          <w:b/>
          <w:i/>
          <w:szCs w:val="24"/>
        </w:rPr>
        <w:t xml:space="preserve">) </w:t>
      </w:r>
      <w:proofErr w:type="spellStart"/>
      <w:r w:rsidRPr="00A52A9D">
        <w:rPr>
          <w:rFonts w:ascii="Times New Roman" w:eastAsia="Calibri" w:hAnsi="Times New Roman" w:cs="Times New Roman"/>
          <w:b/>
          <w:i/>
          <w:szCs w:val="24"/>
        </w:rPr>
        <w:t>nausithous</w:t>
      </w:r>
      <w:proofErr w:type="spellEnd"/>
      <w:r w:rsidRPr="00A52A9D">
        <w:rPr>
          <w:rFonts w:ascii="Times New Roman" w:eastAsia="Calibri" w:hAnsi="Times New Roman" w:cs="Times New Roman"/>
          <w:b/>
          <w:i/>
          <w:szCs w:val="24"/>
        </w:rPr>
        <w:t xml:space="preserve"> </w:t>
      </w:r>
      <w:r w:rsidRPr="00A52A9D">
        <w:rPr>
          <w:rFonts w:ascii="Times New Roman" w:eastAsia="Calibri" w:hAnsi="Times New Roman" w:cs="Times New Roman"/>
          <w:szCs w:val="24"/>
        </w:rPr>
        <w:t>za splnenia nasledovných atribútov:</w:t>
      </w:r>
    </w:p>
    <w:tbl>
      <w:tblPr>
        <w:tblW w:w="5155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285"/>
        <w:gridCol w:w="1550"/>
        <w:gridCol w:w="4536"/>
      </w:tblGrid>
      <w:tr w:rsidR="00C1308F" w:rsidRPr="00C1308F" w:rsidTr="00C1308F">
        <w:trPr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C1308F" w:rsidRPr="00C1308F" w:rsidTr="00C1308F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Potrebné zvýšenie početnosti populácie, ktorá sa odhaduje na  0 – 10 jedincov </w:t>
            </w:r>
          </w:p>
        </w:tc>
      </w:tr>
      <w:tr w:rsidR="00C1308F" w:rsidRPr="00C1308F" w:rsidTr="00C1308F">
        <w:trPr>
          <w:trHeight w:val="4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A17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Udržanie výmery biotopu </w:t>
            </w:r>
            <w:r w:rsidR="00A17F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–</w:t>
            </w: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7F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vlhké lúky, slatiny s výskytom druhu </w:t>
            </w:r>
            <w:proofErr w:type="spellStart"/>
            <w:r w:rsidR="00A17F84" w:rsidRPr="00C1308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="00A17F84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C1308F" w:rsidRPr="00C1308F" w:rsidTr="00C1308F">
        <w:trPr>
          <w:trHeight w:val="8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Kvalita biotopu – výskyt živnej rastliny (</w:t>
            </w:r>
            <w:proofErr w:type="spellStart"/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prítomnosť druhu </w:t>
            </w:r>
            <w:proofErr w:type="spellStart"/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krvavec</w:t>
            </w:r>
            <w:proofErr w:type="spellEnd"/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308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Sanguisorba</w:t>
            </w:r>
            <w:proofErr w:type="spellEnd"/>
            <w:r w:rsidRPr="00C1308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25 - 50 %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zachovanie zastúpenia druhu v danom rozmedzí  </w:t>
            </w:r>
          </w:p>
        </w:tc>
      </w:tr>
      <w:tr w:rsidR="00C1308F" w:rsidRPr="00C1308F" w:rsidTr="00C1308F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8F" w:rsidRPr="00C1308F" w:rsidRDefault="00A17F84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Kvalita biotopu - sukcesia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% pokrytia náletových drevín a krov na plochu biotopu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08F" w:rsidRPr="00C1308F" w:rsidRDefault="00C1308F" w:rsidP="008E01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max. 25 %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08F" w:rsidRPr="00C1308F" w:rsidRDefault="00C1308F" w:rsidP="00A17F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sekundárna sukcesia na lokalite max. do </w:t>
            </w:r>
            <w:r w:rsidR="00A17F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C130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1308F" w:rsidRPr="00503C9D" w:rsidRDefault="00C1308F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03C9D" w:rsidRPr="00F35882" w:rsidRDefault="00503C9D" w:rsidP="008E01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03C9D">
        <w:rPr>
          <w:rFonts w:ascii="Times New Roman" w:eastAsia="Calibri" w:hAnsi="Times New Roman" w:cs="Times New Roman"/>
          <w:sz w:val="24"/>
          <w:szCs w:val="24"/>
        </w:rPr>
        <w:t>Zlep</w:t>
      </w:r>
      <w:r w:rsidRPr="00F35882">
        <w:rPr>
          <w:rFonts w:ascii="Times New Roman" w:eastAsia="Calibri" w:hAnsi="Times New Roman" w:cs="Times New Roman"/>
          <w:sz w:val="24"/>
          <w:szCs w:val="24"/>
        </w:rPr>
        <w:t xml:space="preserve">šenie stavu druhu </w:t>
      </w:r>
      <w:proofErr w:type="spellStart"/>
      <w:r w:rsidRPr="00F358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Rosalia</w:t>
      </w:r>
      <w:proofErr w:type="spellEnd"/>
      <w:r w:rsidRPr="00F358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Pr="00F358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alpina</w:t>
      </w:r>
      <w:proofErr w:type="spellEnd"/>
      <w:r w:rsidRPr="00F358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F35882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536"/>
      </w:tblGrid>
      <w:tr w:rsidR="00503C9D" w:rsidRPr="00DD38C0" w:rsidTr="00DD38C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503C9D" w:rsidRPr="00DD38C0" w:rsidTr="00DD38C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1/ha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A17F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 na  veľkosť populácie 50 – 100 jedincov.</w:t>
            </w:r>
            <w:r w:rsidRPr="00DD3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3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Potrebný je komplexnejší monitoring – založením trvalých monitorovacích plôch a prieskumom v priebehu 3 rokov.</w:t>
            </w:r>
          </w:p>
        </w:tc>
      </w:tr>
      <w:tr w:rsidR="00503C9D" w:rsidRPr="00DD38C0" w:rsidTr="00DD38C0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Staršie lesy </w:t>
            </w:r>
            <w:proofErr w:type="spellStart"/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503C9D" w:rsidRPr="00DD38C0" w:rsidTr="00DD38C0">
        <w:trPr>
          <w:trHeight w:val="6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 stromov/ha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9D" w:rsidRPr="00DD38C0" w:rsidRDefault="00503C9D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D3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:rsidR="00503C9D" w:rsidRPr="00503C9D" w:rsidRDefault="00503C9D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84D5F" w:rsidRDefault="00284D5F" w:rsidP="008E015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049B7">
        <w:rPr>
          <w:rFonts w:ascii="Times New Roman" w:hAnsi="Times New Roman" w:cs="Times New Roman"/>
          <w:color w:val="000000"/>
          <w:sz w:val="24"/>
          <w:szCs w:val="24"/>
        </w:rPr>
        <w:t xml:space="preserve">Zlepšenie poznatkov pre zistenie stavu druhu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Vertigo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angustior</w:t>
      </w:r>
      <w:proofErr w:type="spellEnd"/>
      <w:r w:rsidRPr="009049B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049B7">
        <w:rPr>
          <w:rFonts w:ascii="Times New Roman" w:hAnsi="Times New Roman" w:cs="Times New Roman"/>
          <w:color w:val="000000"/>
          <w:sz w:val="24"/>
          <w:szCs w:val="24"/>
        </w:rPr>
        <w:t>nakoľko je v súčasnosti veľkosť populácie neznáma</w:t>
      </w:r>
      <w:r w:rsidRPr="00904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49B7">
        <w:rPr>
          <w:rFonts w:ascii="Times New Roman" w:hAnsi="Times New Roman" w:cs="Times New Roman"/>
          <w:color w:val="000000"/>
          <w:sz w:val="24"/>
          <w:szCs w:val="24"/>
        </w:rPr>
        <w:t>a bude potrebný monitoring:</w:t>
      </w:r>
      <w:r w:rsidRPr="009049B7" w:rsidDel="0090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4461"/>
      </w:tblGrid>
      <w:tr w:rsidR="00284D5F" w:rsidRPr="00652926" w:rsidTr="00284D5F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D5F" w:rsidRPr="009B7A4C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D5F" w:rsidRPr="009B7A4C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D5F" w:rsidRPr="009B7A4C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D5F" w:rsidRPr="009B7A4C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84D5F" w:rsidRPr="00652926" w:rsidTr="00284D5F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Neznámy 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Zistenie veľkosti populácie cez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komplexnejší monitoring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založením trvalých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monitorivacích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plôch a prieskumom v priebehu 3 rokov. </w:t>
            </w:r>
          </w:p>
        </w:tc>
      </w:tr>
      <w:tr w:rsidR="00284D5F" w:rsidRPr="00652926" w:rsidTr="00284D5F">
        <w:trPr>
          <w:trHeight w:val="9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652926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9A5B90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Neznámy, bude definovaný po 3 </w:t>
            </w:r>
            <w:r w:rsidRPr="006614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ročnom monitoringu stavu populácie v území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D5F" w:rsidRPr="00047559" w:rsidRDefault="00284D5F" w:rsidP="008E01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Bude evidovaný až po potvrdení lokalít druhu v území, vrátane atribútov kvality biotopu.</w:t>
            </w:r>
          </w:p>
        </w:tc>
      </w:tr>
    </w:tbl>
    <w:p w:rsidR="00284D5F" w:rsidRDefault="00284D5F" w:rsidP="008E015A">
      <w:pPr>
        <w:spacing w:after="0" w:line="240" w:lineRule="auto"/>
        <w:contextualSpacing/>
      </w:pPr>
    </w:p>
    <w:p w:rsidR="00067821" w:rsidRPr="00A65914" w:rsidRDefault="00067821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06439" w:rsidRDefault="00F06439" w:rsidP="008E015A">
      <w:pPr>
        <w:spacing w:after="0"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15A" w:rsidRDefault="008E015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8E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73"/>
    <w:rsid w:val="000115F2"/>
    <w:rsid w:val="00024987"/>
    <w:rsid w:val="00032783"/>
    <w:rsid w:val="00036C32"/>
    <w:rsid w:val="00067821"/>
    <w:rsid w:val="00071627"/>
    <w:rsid w:val="000B05B3"/>
    <w:rsid w:val="000E0902"/>
    <w:rsid w:val="00137614"/>
    <w:rsid w:val="00163848"/>
    <w:rsid w:val="001A5695"/>
    <w:rsid w:val="001D4180"/>
    <w:rsid w:val="00273AED"/>
    <w:rsid w:val="00284D5F"/>
    <w:rsid w:val="002A1B91"/>
    <w:rsid w:val="002B0E93"/>
    <w:rsid w:val="002C209A"/>
    <w:rsid w:val="002F553D"/>
    <w:rsid w:val="00373677"/>
    <w:rsid w:val="003D302C"/>
    <w:rsid w:val="003E3F8E"/>
    <w:rsid w:val="003E5B30"/>
    <w:rsid w:val="004515BB"/>
    <w:rsid w:val="00503C9D"/>
    <w:rsid w:val="005042B6"/>
    <w:rsid w:val="00530043"/>
    <w:rsid w:val="0053328A"/>
    <w:rsid w:val="00561A92"/>
    <w:rsid w:val="00580412"/>
    <w:rsid w:val="00595364"/>
    <w:rsid w:val="005F7A68"/>
    <w:rsid w:val="00602B91"/>
    <w:rsid w:val="00611E71"/>
    <w:rsid w:val="0061265D"/>
    <w:rsid w:val="006A4DF1"/>
    <w:rsid w:val="006B22E2"/>
    <w:rsid w:val="00716A6B"/>
    <w:rsid w:val="00724D69"/>
    <w:rsid w:val="00753550"/>
    <w:rsid w:val="0081261D"/>
    <w:rsid w:val="0083612D"/>
    <w:rsid w:val="00876D18"/>
    <w:rsid w:val="00897603"/>
    <w:rsid w:val="008E015A"/>
    <w:rsid w:val="0092264A"/>
    <w:rsid w:val="0093540D"/>
    <w:rsid w:val="009832B1"/>
    <w:rsid w:val="009F6BB5"/>
    <w:rsid w:val="00A17F84"/>
    <w:rsid w:val="00A616BB"/>
    <w:rsid w:val="00A64DDF"/>
    <w:rsid w:val="00A65914"/>
    <w:rsid w:val="00AD0F79"/>
    <w:rsid w:val="00B06CBA"/>
    <w:rsid w:val="00B12B12"/>
    <w:rsid w:val="00B2381D"/>
    <w:rsid w:val="00B36E77"/>
    <w:rsid w:val="00B416EE"/>
    <w:rsid w:val="00BB750D"/>
    <w:rsid w:val="00BD577C"/>
    <w:rsid w:val="00C0545B"/>
    <w:rsid w:val="00C1308F"/>
    <w:rsid w:val="00C24014"/>
    <w:rsid w:val="00D11B73"/>
    <w:rsid w:val="00D15F76"/>
    <w:rsid w:val="00D7057E"/>
    <w:rsid w:val="00DD38C0"/>
    <w:rsid w:val="00E84CE4"/>
    <w:rsid w:val="00F06439"/>
    <w:rsid w:val="00F35D63"/>
    <w:rsid w:val="00F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365A"/>
  <w15:docId w15:val="{299092B8-F9A8-4F61-BB5D-885BF423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D5F"/>
  </w:style>
  <w:style w:type="paragraph" w:styleId="Nadpis1">
    <w:name w:val="heading 1"/>
    <w:basedOn w:val="Normlny"/>
    <w:next w:val="Normlny"/>
    <w:link w:val="Nadpis1Char"/>
    <w:uiPriority w:val="9"/>
    <w:qFormat/>
    <w:rsid w:val="00A64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D11B73"/>
  </w:style>
  <w:style w:type="paragraph" w:styleId="Odsekzoznamu">
    <w:name w:val="List Paragraph"/>
    <w:basedOn w:val="Normlny"/>
    <w:uiPriority w:val="34"/>
    <w:qFormat/>
    <w:rsid w:val="001A569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64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2E2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semiHidden/>
    <w:rsid w:val="000E0902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semiHidden/>
    <w:rsid w:val="000E090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qFormat/>
    <w:rsid w:val="000E0902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E0902"/>
    <w:rPr>
      <w:rFonts w:ascii="Arial" w:eastAsia="Calibri" w:hAnsi="Arial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0E09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90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0E09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E090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pis">
    <w:name w:val="caption"/>
    <w:basedOn w:val="Normlny"/>
    <w:next w:val="Normlny"/>
    <w:unhideWhenUsed/>
    <w:qFormat/>
    <w:rsid w:val="002A1B91"/>
    <w:pPr>
      <w:spacing w:line="240" w:lineRule="auto"/>
      <w:jc w:val="both"/>
    </w:pPr>
    <w:rPr>
      <w:rFonts w:ascii="Calibri Light" w:eastAsia="Segoe UI" w:hAnsi="Calibri Light" w:cs="Calibri Light"/>
      <w:i/>
      <w:iCs/>
      <w:color w:val="44546A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E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14B4-03C6-4DCA-BD63-163A7924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 Account</dc:creator>
  <cp:lastModifiedBy>Marta Mútňanová</cp:lastModifiedBy>
  <cp:revision>4</cp:revision>
  <dcterms:created xsi:type="dcterms:W3CDTF">2023-12-13T11:06:00Z</dcterms:created>
  <dcterms:modified xsi:type="dcterms:W3CDTF">2023-12-13T13:11:00Z</dcterms:modified>
</cp:coreProperties>
</file>