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80CC" w14:textId="24FBD054" w:rsidR="001A10C1" w:rsidRDefault="009A51D4" w:rsidP="001A10C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SKUEV02</w:t>
      </w:r>
      <w:r w:rsidR="001613E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1A10C1" w:rsidRPr="002D10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Brezinky</w:t>
      </w:r>
    </w:p>
    <w:p w14:paraId="56872296" w14:textId="77777777" w:rsidR="00AE77E1" w:rsidRDefault="00AE77E1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767D0C8F" w14:textId="2EEF10B6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2460E312" w14:textId="3C869589" w:rsidR="009A51D4" w:rsidRDefault="009A51D4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677433AD" w14:textId="77777777" w:rsidR="006425FE" w:rsidRDefault="006425FE" w:rsidP="006425F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2378D2">
        <w:rPr>
          <w:rFonts w:ascii="Times New Roman" w:hAnsi="Times New Roman" w:cs="Times New Roman"/>
          <w:color w:val="000000"/>
          <w:sz w:val="24"/>
          <w:szCs w:val="24"/>
        </w:rPr>
        <w:t>stavu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Kr1 (4030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Suché vresoviská v nížinách a pahorkatinách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0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1"/>
        <w:gridCol w:w="1418"/>
        <w:gridCol w:w="1275"/>
        <w:gridCol w:w="4534"/>
      </w:tblGrid>
      <w:tr w:rsidR="006425FE" w:rsidRPr="009A51D4" w14:paraId="10D1E2C5" w14:textId="77777777" w:rsidTr="00BF71DA">
        <w:trPr>
          <w:trHeight w:val="430"/>
        </w:trPr>
        <w:tc>
          <w:tcPr>
            <w:tcW w:w="1841" w:type="dxa"/>
            <w:vAlign w:val="center"/>
          </w:tcPr>
          <w:p w14:paraId="6FEF6BA8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vAlign w:val="center"/>
          </w:tcPr>
          <w:p w14:paraId="4F01F6E1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275" w:type="dxa"/>
            <w:vAlign w:val="center"/>
          </w:tcPr>
          <w:p w14:paraId="1968F07B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6" w:type="dxa"/>
            <w:vAlign w:val="center"/>
          </w:tcPr>
          <w:p w14:paraId="69DE50E2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425FE" w:rsidRPr="009A51D4" w14:paraId="54369B9F" w14:textId="77777777" w:rsidTr="00BF71DA">
        <w:trPr>
          <w:trHeight w:val="290"/>
        </w:trPr>
        <w:tc>
          <w:tcPr>
            <w:tcW w:w="1841" w:type="dxa"/>
            <w:vAlign w:val="center"/>
          </w:tcPr>
          <w:p w14:paraId="5EF54BEC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8" w:type="dxa"/>
            <w:vAlign w:val="center"/>
          </w:tcPr>
          <w:p w14:paraId="036E8AF5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275" w:type="dxa"/>
            <w:vAlign w:val="center"/>
          </w:tcPr>
          <w:p w14:paraId="42D593E6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3,8</w:t>
            </w:r>
          </w:p>
        </w:tc>
        <w:tc>
          <w:tcPr>
            <w:tcW w:w="4536" w:type="dxa"/>
            <w:vAlign w:val="center"/>
          </w:tcPr>
          <w:p w14:paraId="1697AF8E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6425FE" w:rsidRPr="009A51D4" w14:paraId="335E9359" w14:textId="77777777" w:rsidTr="00BF71DA">
        <w:trPr>
          <w:trHeight w:val="414"/>
        </w:trPr>
        <w:tc>
          <w:tcPr>
            <w:tcW w:w="1841" w:type="dxa"/>
            <w:vAlign w:val="center"/>
          </w:tcPr>
          <w:p w14:paraId="4DFD1613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8" w:type="dxa"/>
            <w:vAlign w:val="center"/>
          </w:tcPr>
          <w:p w14:paraId="0144C5A7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275" w:type="dxa"/>
            <w:vAlign w:val="center"/>
          </w:tcPr>
          <w:p w14:paraId="465F369D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najmenej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4536" w:type="dxa"/>
            <w:vAlign w:val="center"/>
          </w:tcPr>
          <w:p w14:paraId="4DBEFF8D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Charakteristické/typické druhové zloženie</w:t>
            </w:r>
            <w:r w:rsidRPr="009A51D4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: </w:t>
            </w:r>
            <w:r w:rsidRPr="009A51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Acetosa pratensis, Acetosella vulgaris, Avenella flexuosa, Calluna vulgaris, Cladonia sp., Deschampsia cespitosa, Dianthus carthusianorum, Genista tinctoria, Hypericum perforatum, Luzula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luzuloides</w:t>
            </w:r>
            <w:r w:rsidRPr="009A51D4">
              <w:rPr>
                <w:rFonts w:ascii="Times New Roman" w:hAnsi="Times New Roman" w:cs="Times New Roman"/>
                <w:i/>
                <w:sz w:val="20"/>
                <w:szCs w:val="20"/>
              </w:rPr>
              <w:t>, Nardus stricta, Pilosella officinarum, Polytrichum sp., Racomitrium sp., Scleranthus perennis, Sorbus aucuparia subsp. aucuparia, Vaccinium myrtillus, Vaccinium vitis-idaea</w:t>
            </w:r>
          </w:p>
        </w:tc>
      </w:tr>
      <w:tr w:rsidR="006425FE" w:rsidRPr="009A51D4" w14:paraId="75C8AA31" w14:textId="77777777" w:rsidTr="00BF71DA">
        <w:trPr>
          <w:trHeight w:val="414"/>
        </w:trPr>
        <w:tc>
          <w:tcPr>
            <w:tcW w:w="1841" w:type="dxa"/>
            <w:vAlign w:val="center"/>
          </w:tcPr>
          <w:p w14:paraId="4E478FFA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8" w:type="dxa"/>
            <w:vAlign w:val="center"/>
          </w:tcPr>
          <w:p w14:paraId="2A6B5113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5" w:type="dxa"/>
            <w:vAlign w:val="center"/>
          </w:tcPr>
          <w:p w14:paraId="721204EA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menej ako 20 %</w:t>
            </w:r>
          </w:p>
        </w:tc>
        <w:tc>
          <w:tcPr>
            <w:tcW w:w="4536" w:type="dxa"/>
            <w:vAlign w:val="center"/>
          </w:tcPr>
          <w:p w14:paraId="38537BFF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Minimalizovanie zastúpenia drevín </w:t>
            </w:r>
          </w:p>
        </w:tc>
      </w:tr>
      <w:tr w:rsidR="006425FE" w:rsidRPr="009A51D4" w14:paraId="592C31D0" w14:textId="77777777" w:rsidTr="00BF71DA">
        <w:trPr>
          <w:trHeight w:val="414"/>
        </w:trPr>
        <w:tc>
          <w:tcPr>
            <w:tcW w:w="1841" w:type="dxa"/>
            <w:vAlign w:val="center"/>
          </w:tcPr>
          <w:p w14:paraId="2E3621B9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Zastúpenie alochtónnych/</w:t>
            </w:r>
          </w:p>
          <w:p w14:paraId="6DB87CDD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418" w:type="dxa"/>
            <w:vAlign w:val="center"/>
          </w:tcPr>
          <w:p w14:paraId="599B0F23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1275" w:type="dxa"/>
            <w:vAlign w:val="center"/>
          </w:tcPr>
          <w:p w14:paraId="2CA09E70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536" w:type="dxa"/>
            <w:vAlign w:val="center"/>
          </w:tcPr>
          <w:p w14:paraId="28EAF7AB" w14:textId="77777777" w:rsidR="006425FE" w:rsidRPr="009A51D4" w:rsidRDefault="006425FE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A51D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Udržať plochy bez výskytu inváznych druhov.</w:t>
            </w:r>
          </w:p>
        </w:tc>
      </w:tr>
    </w:tbl>
    <w:p w14:paraId="0F7FD879" w14:textId="77777777" w:rsidR="006425FE" w:rsidRDefault="006425FE" w:rsidP="00642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A0609E" w14:textId="77777777" w:rsidR="006425FE" w:rsidRPr="001D5438" w:rsidRDefault="006425FE" w:rsidP="00642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438">
        <w:rPr>
          <w:rFonts w:ascii="Times New Roman" w:hAnsi="Times New Roman" w:cs="Times New Roman"/>
          <w:sz w:val="24"/>
          <w:szCs w:val="24"/>
        </w:rPr>
        <w:t xml:space="preserve">Zachovanie stavu biotopu </w:t>
      </w:r>
      <w:r w:rsidRPr="001D5438">
        <w:rPr>
          <w:rFonts w:ascii="Times New Roman" w:hAnsi="Times New Roman" w:cs="Times New Roman"/>
          <w:b/>
          <w:sz w:val="24"/>
          <w:szCs w:val="24"/>
        </w:rPr>
        <w:t xml:space="preserve">Ra3 (7140) Prechodné rašeliniská a trasoviská </w:t>
      </w:r>
      <w:r w:rsidRPr="001D5438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4677"/>
      </w:tblGrid>
      <w:tr w:rsidR="006425FE" w:rsidRPr="001D5438" w14:paraId="5F5610E3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4BE4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3009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AAAC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8DC9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6425FE" w:rsidRPr="001D5438" w14:paraId="3C8AAED8" w14:textId="77777777" w:rsidTr="00D2480C">
        <w:trPr>
          <w:trHeight w:val="4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497" w14:textId="47F77E49" w:rsidR="006425FE" w:rsidRPr="001D5438" w:rsidRDefault="006425FE" w:rsidP="006425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03D2CF80" w14:textId="5FE53CE5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1EB7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3BAE" w14:textId="7856CD2E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5CF4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Udržať výmeru biotopu</w:t>
            </w:r>
          </w:p>
        </w:tc>
      </w:tr>
      <w:tr w:rsidR="006425FE" w:rsidRPr="001D5438" w14:paraId="6C3E2083" w14:textId="77777777" w:rsidTr="00BF71DA">
        <w:trPr>
          <w:trHeight w:val="1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4270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B662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C19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3 druhy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226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Agrostis canina, Carex canescens, Carex echinata, Carex nigra, Epilobium palustre, Eriophorum angustifolium, Viola palustris, Carex rostrata, Pedicularis palustris, Caltha palustris, </w:t>
            </w:r>
          </w:p>
          <w:p w14:paraId="3B2DEF32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Machorasty</w:t>
            </w:r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: Sphagnum capillifolium, Calliergon stramineum, Sphagnum pallustre, Sphagnum subsecundum, Sphagnum teres, Warnstorfia exanulata, Sphagnum squarrosum.</w:t>
            </w:r>
          </w:p>
        </w:tc>
      </w:tr>
      <w:tr w:rsidR="006425FE" w:rsidRPr="001D5438" w14:paraId="24D88A70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925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51F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DFA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DA3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Dosiahnuté nízke zastúpenie drevín a krovín.</w:t>
            </w:r>
          </w:p>
        </w:tc>
      </w:tr>
      <w:tr w:rsidR="006425FE" w:rsidRPr="001D5438" w14:paraId="4531FFFC" w14:textId="77777777" w:rsidTr="00BF71DA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476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812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CAB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374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nepôvodných druhov.</w:t>
            </w:r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425FE" w:rsidRPr="001D5438" w14:paraId="18789732" w14:textId="77777777" w:rsidTr="00BF71D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2E08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A751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DA64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13DC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zásahov.</w:t>
            </w:r>
          </w:p>
        </w:tc>
      </w:tr>
    </w:tbl>
    <w:p w14:paraId="654D1C73" w14:textId="77777777" w:rsidR="006425FE" w:rsidRDefault="006425FE" w:rsidP="00642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4945F6" w14:textId="77777777" w:rsidR="006425FE" w:rsidRPr="001D5438" w:rsidRDefault="006425FE" w:rsidP="00642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438">
        <w:rPr>
          <w:rFonts w:ascii="Times New Roman" w:hAnsi="Times New Roman" w:cs="Times New Roman"/>
          <w:sz w:val="24"/>
          <w:szCs w:val="24"/>
        </w:rPr>
        <w:lastRenderedPageBreak/>
        <w:t xml:space="preserve">Zachovanie stavu biotopu </w:t>
      </w:r>
      <w:r w:rsidRPr="001D5438">
        <w:rPr>
          <w:rFonts w:ascii="Times New Roman" w:hAnsi="Times New Roman" w:cs="Times New Roman"/>
          <w:b/>
          <w:sz w:val="24"/>
          <w:szCs w:val="24"/>
        </w:rPr>
        <w:t xml:space="preserve">Ra6 (7230) Slatiny s vysokým obsahom báz </w:t>
      </w:r>
      <w:r w:rsidRPr="001D5438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4819"/>
      </w:tblGrid>
      <w:tr w:rsidR="006425FE" w:rsidRPr="001D5438" w14:paraId="5DECE4DA" w14:textId="77777777" w:rsidTr="006425FE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D492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B596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1F73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3E18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6425FE" w:rsidRPr="001D5438" w14:paraId="376D38F2" w14:textId="77777777" w:rsidTr="006425FE">
        <w:trPr>
          <w:trHeight w:val="7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59A2" w14:textId="51991E16" w:rsidR="006425FE" w:rsidRPr="001D5438" w:rsidRDefault="006425FE" w:rsidP="006425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EE7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6910" w14:textId="4C899B1D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0,93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27A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biotopu. </w:t>
            </w:r>
          </w:p>
        </w:tc>
      </w:tr>
      <w:tr w:rsidR="006425FE" w:rsidRPr="001D5438" w14:paraId="51E63341" w14:textId="77777777" w:rsidTr="006425FE">
        <w:trPr>
          <w:trHeight w:val="1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DFDC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149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024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6 druhov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56A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Blysmus compressus, Carex davalliana, Carex dioica, Carex lepidocarpa, Carex flava, Dactylorhiza incarnata, Dactylorhiza majalis, Eleocharis quinqueflora, Epipactis palustris, Eriophorum angustifolium, Eriophorum latifolium, Gymnadenia densiflora, Juncus subnodulosus, Parnassia palustris,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Pedicularis palustris, Primula farinosa, Caltha palustris,  Succisa pratensis, Triglochin palustre, Valeriana dioica, Vaeriana simplicifolia,</w:t>
            </w:r>
          </w:p>
          <w:p w14:paraId="411B5DB1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Machorasty:</w:t>
            </w:r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Calliergonella cuspidata, Campylium stellatum, Bryum pseudotriquetrum, Drepanocladus cossonii, Hypnum pratense, Tomenthypnum nitens.</w:t>
            </w:r>
          </w:p>
        </w:tc>
      </w:tr>
      <w:tr w:rsidR="006425FE" w:rsidRPr="001D5438" w14:paraId="7E0BC3B3" w14:textId="77777777" w:rsidTr="00BF71DA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A4B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4562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4AE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3E8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Udržané nízke zastúpenie drevín a krovín.</w:t>
            </w:r>
          </w:p>
        </w:tc>
      </w:tr>
      <w:tr w:rsidR="006425FE" w:rsidRPr="001D5438" w14:paraId="428B466E" w14:textId="77777777" w:rsidTr="00BF71DA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A19D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D9FB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2C6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F6F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Minimálne zastúpenie nepôvodných a sukcesných druhov (zastúpenie súvislých porastov </w:t>
            </w:r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Molinia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sp.). </w:t>
            </w:r>
          </w:p>
        </w:tc>
      </w:tr>
      <w:tr w:rsidR="006425FE" w:rsidRPr="001D5438" w14:paraId="1E807499" w14:textId="77777777" w:rsidTr="00BF71D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D362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463F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AB3D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2085" w14:textId="77777777" w:rsidR="006425FE" w:rsidRPr="001D5438" w:rsidRDefault="006425FE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zásahov.</w:t>
            </w:r>
          </w:p>
        </w:tc>
      </w:tr>
    </w:tbl>
    <w:p w14:paraId="4105C2BC" w14:textId="77777777" w:rsidR="006425FE" w:rsidRDefault="006425FE" w:rsidP="006425FE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65D169B" w14:textId="77777777" w:rsidR="006425FE" w:rsidRPr="0097165E" w:rsidRDefault="006425FE" w:rsidP="006425F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7165E">
        <w:rPr>
          <w:rFonts w:ascii="Times New Roman" w:hAnsi="Times New Roman" w:cs="Times New Roman"/>
          <w:color w:val="000000"/>
          <w:sz w:val="24"/>
          <w:szCs w:val="24"/>
        </w:rPr>
        <w:t>Zlepšenie stavu druhu</w:t>
      </w:r>
      <w:r w:rsidRPr="009716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16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variegata </w:t>
      </w:r>
      <w:r w:rsidRPr="0097165E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252"/>
      </w:tblGrid>
      <w:tr w:rsidR="006425FE" w:rsidRPr="0097165E" w14:paraId="10E78721" w14:textId="77777777" w:rsidTr="006425FE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481" w14:textId="77777777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DCB" w14:textId="77777777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31ED" w14:textId="77777777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805" w14:textId="77777777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425FE" w:rsidRPr="0097165E" w14:paraId="74425193" w14:textId="77777777" w:rsidTr="006425FE">
        <w:trPr>
          <w:trHeight w:val="1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B244" w14:textId="54BCAD39" w:rsidR="006425FE" w:rsidRPr="00305546" w:rsidRDefault="006425FE" w:rsidP="00C10E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3CC" w14:textId="77777777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2AF" w14:textId="210B93E3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15</w:t>
            </w: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ADE" w14:textId="102170B4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interval veľkosti populácie v území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 – 15</w:t>
            </w: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 (aktuály údaj / z SDF), bude potrebný komplexnejší monitoring populácie druhu.</w:t>
            </w:r>
          </w:p>
        </w:tc>
      </w:tr>
      <w:tr w:rsidR="006425FE" w:rsidRPr="0097165E" w14:paraId="521E3AAE" w14:textId="77777777" w:rsidTr="006425FE">
        <w:trPr>
          <w:trHeight w:val="10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7D17" w14:textId="77777777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81DF" w14:textId="77777777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096D" w14:textId="6F72B5BD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6408" w14:textId="77777777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6425FE" w:rsidRPr="0097165E" w14:paraId="5C81625D" w14:textId="77777777" w:rsidTr="006425FE">
        <w:trPr>
          <w:trHeight w:val="9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CA4" w14:textId="77777777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083" w14:textId="77777777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0627" w14:textId="77777777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895" w14:textId="77777777" w:rsidR="006425FE" w:rsidRPr="0097165E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6AA77BC0" w14:textId="77777777" w:rsidR="006425FE" w:rsidRDefault="006425FE" w:rsidP="006425FE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6435928" w14:textId="77777777" w:rsidR="006425FE" w:rsidRPr="00A45AB3" w:rsidRDefault="006425FE" w:rsidP="006425F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45AB3">
        <w:rPr>
          <w:rFonts w:ascii="Times New Roman" w:hAnsi="Times New Roman" w:cs="Times New Roman"/>
          <w:color w:val="000000"/>
          <w:sz w:val="24"/>
          <w:szCs w:val="24"/>
        </w:rPr>
        <w:t xml:space="preserve">Zlepšenie poznatkov pre zistenie stavu druhu </w:t>
      </w:r>
      <w:r w:rsidRPr="00A45AB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Carabus variolosus, </w:t>
      </w:r>
      <w:r w:rsidRPr="00A45AB3">
        <w:rPr>
          <w:rFonts w:ascii="Times New Roman" w:hAnsi="Times New Roman" w:cs="Times New Roman"/>
          <w:color w:val="000000"/>
          <w:sz w:val="24"/>
          <w:szCs w:val="24"/>
        </w:rPr>
        <w:t>nakoľko je v súčasnosti veľkosť populácie neznáma</w:t>
      </w:r>
      <w:r w:rsidRPr="00A45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5AB3">
        <w:rPr>
          <w:rFonts w:ascii="Times New Roman" w:hAnsi="Times New Roman" w:cs="Times New Roman"/>
          <w:color w:val="000000"/>
          <w:sz w:val="24"/>
          <w:szCs w:val="24"/>
        </w:rPr>
        <w:t>a bude potrebný monitoring:</w:t>
      </w:r>
      <w:r w:rsidRPr="00A45AB3" w:rsidDel="0090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252"/>
      </w:tblGrid>
      <w:tr w:rsidR="006425FE" w:rsidRPr="00A45AB3" w14:paraId="295A547A" w14:textId="77777777" w:rsidTr="00BF71D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164B" w14:textId="77777777" w:rsidR="006425FE" w:rsidRPr="00A45AB3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0F03" w14:textId="77777777" w:rsidR="006425FE" w:rsidRPr="00A45AB3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E924" w14:textId="77777777" w:rsidR="006425FE" w:rsidRPr="00A45AB3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D813" w14:textId="77777777" w:rsidR="006425FE" w:rsidRPr="00A45AB3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425FE" w:rsidRPr="00A45AB3" w14:paraId="2EDCA1CB" w14:textId="77777777" w:rsidTr="00BF71D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A4AA" w14:textId="77777777" w:rsidR="006425FE" w:rsidRPr="00A45AB3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C727" w14:textId="77777777" w:rsidR="006425FE" w:rsidRPr="00A45AB3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0240" w14:textId="77777777" w:rsidR="006425FE" w:rsidRPr="00A45AB3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3E59" w14:textId="77777777" w:rsidR="006425FE" w:rsidRPr="00A45AB3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Potrebné je z</w:t>
            </w:r>
            <w:r w:rsidRPr="00494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istenie veľkosti populácie cez komplexnejší monitori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ng – založením trvalých monitoro</w:t>
            </w:r>
            <w:r w:rsidRPr="00494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vacích plôch a prieskumom v priebehu 3 rokov.</w:t>
            </w:r>
          </w:p>
        </w:tc>
      </w:tr>
      <w:tr w:rsidR="006425FE" w:rsidRPr="00A45AB3" w14:paraId="66B9D52F" w14:textId="77777777" w:rsidTr="00BF71D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AD5" w14:textId="77777777" w:rsidR="006425FE" w:rsidRPr="00A45AB3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8F29" w14:textId="77777777" w:rsidR="006425FE" w:rsidRPr="00A45AB3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F34E" w14:textId="77777777" w:rsidR="006425FE" w:rsidRPr="00A45AB3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E841" w14:textId="77777777" w:rsidR="006425FE" w:rsidRPr="00A45AB3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02346889" w14:textId="77777777" w:rsidR="006425FE" w:rsidRPr="00530043" w:rsidRDefault="006425FE" w:rsidP="006425FE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F9AF7EF" w14:textId="77777777" w:rsidR="006425FE" w:rsidRPr="00305546" w:rsidRDefault="006425FE" w:rsidP="006425FE">
      <w:pPr>
        <w:spacing w:line="240" w:lineRule="auto"/>
        <w:contextualSpacing/>
      </w:pPr>
      <w:r w:rsidRPr="00305546">
        <w:rPr>
          <w:rFonts w:ascii="Times New Roman" w:hAnsi="Times New Roman" w:cs="Times New Roman"/>
        </w:rPr>
        <w:t xml:space="preserve">Zlepšenie stavu druhu </w:t>
      </w:r>
      <w:r w:rsidRPr="00305546">
        <w:rPr>
          <w:rFonts w:ascii="Times New Roman" w:hAnsi="Times New Roman" w:cs="Times New Roman"/>
          <w:b/>
          <w:i/>
          <w:szCs w:val="24"/>
        </w:rPr>
        <w:t xml:space="preserve">Lycaena dispar </w:t>
      </w:r>
      <w:r w:rsidRPr="00305546">
        <w:rPr>
          <w:rFonts w:ascii="Times New Roman" w:hAnsi="Times New Roman" w:cs="Times New Roman"/>
          <w:szCs w:val="24"/>
        </w:rPr>
        <w:t>za splnenia nasledovných atribútov:</w:t>
      </w:r>
    </w:p>
    <w:tbl>
      <w:tblPr>
        <w:tblW w:w="5280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1275"/>
        <w:gridCol w:w="1560"/>
        <w:gridCol w:w="4602"/>
      </w:tblGrid>
      <w:tr w:rsidR="006425FE" w:rsidRPr="00C1308F" w14:paraId="3A44F1B5" w14:textId="77777777" w:rsidTr="00646BDF">
        <w:trPr>
          <w:trHeight w:val="31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64D16" w14:textId="77777777" w:rsidR="006425FE" w:rsidRPr="00C1308F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3DDA" w14:textId="77777777" w:rsidR="006425FE" w:rsidRPr="00C1308F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AD83" w14:textId="77777777" w:rsidR="006425FE" w:rsidRPr="00C1308F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41D9" w14:textId="77777777" w:rsidR="006425FE" w:rsidRPr="00C1308F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10E37" w:rsidRPr="00305546" w14:paraId="1944F8FB" w14:textId="77777777" w:rsidTr="00646BDF">
        <w:trPr>
          <w:trHeight w:val="115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9785C" w14:textId="66A4C774" w:rsidR="00C10E37" w:rsidRPr="00305546" w:rsidRDefault="00C10E37" w:rsidP="00C10E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1F76" w14:textId="77777777" w:rsidR="00C10E37" w:rsidRPr="00305546" w:rsidRDefault="00C10E37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 jedincov (imágo, larva)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2DAFF" w14:textId="393B4D30" w:rsidR="00C10E37" w:rsidRPr="00305546" w:rsidRDefault="00C10E37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15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2D0B" w14:textId="77777777" w:rsidR="00C10E37" w:rsidRPr="00C1308F" w:rsidRDefault="00C10E37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Zvýšenie početnosti populácie, v súčasnosti sa odhaduje na 0 až 10 jedincov.  </w:t>
            </w:r>
            <w:r w:rsidRPr="00C13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Potrebný je komplexnejší monitoring – založením trvalých monitorovacích plôch a prieskumom v priebehu 3 rokov.</w:t>
            </w:r>
          </w:p>
        </w:tc>
      </w:tr>
      <w:tr w:rsidR="00646BDF" w:rsidRPr="00305546" w14:paraId="7DCF843E" w14:textId="77777777" w:rsidTr="00646BDF">
        <w:trPr>
          <w:trHeight w:val="78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1769" w14:textId="0A25DE5B" w:rsidR="00646BDF" w:rsidRPr="00305546" w:rsidRDefault="00646BDF" w:rsidP="00646B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 biotopu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4C8F9" w14:textId="77777777" w:rsidR="00646BDF" w:rsidRPr="00305546" w:rsidRDefault="00646BD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ECA48" w14:textId="717E39FE" w:rsidR="00646BDF" w:rsidRPr="00305546" w:rsidRDefault="00646BD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ED1F" w14:textId="77777777" w:rsidR="00646BDF" w:rsidRPr="00305546" w:rsidRDefault="00646BD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nižšie a stredné polohy pozdĺž vodných tokov a brehové porasty s výskytom štiavu (</w:t>
            </w:r>
            <w:r w:rsidRPr="003055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Rumex</w:t>
            </w:r>
            <w:r w:rsidRPr="00305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sp.)</w:t>
            </w:r>
          </w:p>
        </w:tc>
      </w:tr>
      <w:tr w:rsidR="006425FE" w:rsidRPr="00305546" w14:paraId="579DA130" w14:textId="77777777" w:rsidTr="00646BDF">
        <w:trPr>
          <w:trHeight w:val="155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F15E" w14:textId="77777777" w:rsidR="006425FE" w:rsidRPr="00305546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kvalita biotopu druhu - zachovanie lúčnej vegetácie a pobrežných nelesných porastov s živnou rastlinou Rumex sp.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AF91" w14:textId="77777777" w:rsidR="006425FE" w:rsidRPr="00305546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výskytu druhu Rumex sp.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1106F" w14:textId="77777777" w:rsidR="006425FE" w:rsidRPr="00305546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6C74" w14:textId="77777777" w:rsidR="006425FE" w:rsidRPr="00305546" w:rsidRDefault="006425FE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zachovanie lúčnej vegetácie a pobrežných nelesných porast</w:t>
            </w:r>
            <w:bookmarkStart w:id="0" w:name="_GoBack"/>
            <w:bookmarkEnd w:id="0"/>
            <w:r w:rsidRPr="00305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 s hostiteľskou rastlinou Rumex sp. V zastúpení min. 20 %</w:t>
            </w:r>
          </w:p>
        </w:tc>
      </w:tr>
    </w:tbl>
    <w:p w14:paraId="553DA2CD" w14:textId="77777777" w:rsidR="006425FE" w:rsidRDefault="006425FE" w:rsidP="006425FE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89B6FAF" w14:textId="77777777" w:rsidR="006425FE" w:rsidRDefault="006425FE" w:rsidP="006425FE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E1864EA" w14:textId="77777777" w:rsidR="006425FE" w:rsidRDefault="006425FE" w:rsidP="006425FE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02019F" w14:textId="04642D0E" w:rsidR="00AB129F" w:rsidRDefault="00AB129F" w:rsidP="006425FE">
      <w:pPr>
        <w:rPr>
          <w:rFonts w:ascii="Times New Roman" w:hAnsi="Times New Roman" w:cs="Times New Roman"/>
          <w:sz w:val="24"/>
          <w:szCs w:val="24"/>
        </w:rPr>
      </w:pPr>
    </w:p>
    <w:sectPr w:rsidR="00AB129F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618B9" w14:textId="77777777" w:rsidR="0096022A" w:rsidRDefault="0096022A" w:rsidP="009049B7">
      <w:pPr>
        <w:spacing w:line="240" w:lineRule="auto"/>
      </w:pPr>
      <w:r>
        <w:separator/>
      </w:r>
    </w:p>
  </w:endnote>
  <w:endnote w:type="continuationSeparator" w:id="0">
    <w:p w14:paraId="6615CFC4" w14:textId="77777777" w:rsidR="0096022A" w:rsidRDefault="0096022A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15C7B9A6" w:rsidR="00AB129F" w:rsidRDefault="00AB129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DF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AB129F" w:rsidRDefault="00AB129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77831077" w:rsidR="00AB129F" w:rsidRDefault="00AB129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22A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AB129F" w:rsidRDefault="00AB12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6353A" w14:textId="77777777" w:rsidR="0096022A" w:rsidRDefault="0096022A" w:rsidP="009049B7">
      <w:pPr>
        <w:spacing w:line="240" w:lineRule="auto"/>
      </w:pPr>
      <w:r>
        <w:separator/>
      </w:r>
    </w:p>
  </w:footnote>
  <w:footnote w:type="continuationSeparator" w:id="0">
    <w:p w14:paraId="3E743E59" w14:textId="77777777" w:rsidR="0096022A" w:rsidRDefault="0096022A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12C22"/>
    <w:rsid w:val="0002231E"/>
    <w:rsid w:val="00024F35"/>
    <w:rsid w:val="000302C7"/>
    <w:rsid w:val="0003488C"/>
    <w:rsid w:val="00034AE7"/>
    <w:rsid w:val="00041E2F"/>
    <w:rsid w:val="00052428"/>
    <w:rsid w:val="00056DC6"/>
    <w:rsid w:val="000864BD"/>
    <w:rsid w:val="00086B26"/>
    <w:rsid w:val="00090147"/>
    <w:rsid w:val="000A0F1F"/>
    <w:rsid w:val="000A1347"/>
    <w:rsid w:val="000A53DA"/>
    <w:rsid w:val="000B494B"/>
    <w:rsid w:val="000B70F1"/>
    <w:rsid w:val="000C35EE"/>
    <w:rsid w:val="000C7FAA"/>
    <w:rsid w:val="000D3ACB"/>
    <w:rsid w:val="000D4C17"/>
    <w:rsid w:val="000D5621"/>
    <w:rsid w:val="000E5829"/>
    <w:rsid w:val="000F08DC"/>
    <w:rsid w:val="000F140B"/>
    <w:rsid w:val="000F15B6"/>
    <w:rsid w:val="000F4B9F"/>
    <w:rsid w:val="001075EC"/>
    <w:rsid w:val="00107F36"/>
    <w:rsid w:val="001123F2"/>
    <w:rsid w:val="001131E3"/>
    <w:rsid w:val="0011445B"/>
    <w:rsid w:val="001158DE"/>
    <w:rsid w:val="00117C41"/>
    <w:rsid w:val="00122744"/>
    <w:rsid w:val="00122787"/>
    <w:rsid w:val="001258AA"/>
    <w:rsid w:val="00127849"/>
    <w:rsid w:val="00135846"/>
    <w:rsid w:val="001613E9"/>
    <w:rsid w:val="00165F46"/>
    <w:rsid w:val="00166A90"/>
    <w:rsid w:val="00186C3C"/>
    <w:rsid w:val="00195E53"/>
    <w:rsid w:val="001A0A3C"/>
    <w:rsid w:val="001A10C1"/>
    <w:rsid w:val="001A2958"/>
    <w:rsid w:val="001B4A5C"/>
    <w:rsid w:val="001C4290"/>
    <w:rsid w:val="001D05CE"/>
    <w:rsid w:val="001D185A"/>
    <w:rsid w:val="001D51FF"/>
    <w:rsid w:val="001F7DC2"/>
    <w:rsid w:val="00201434"/>
    <w:rsid w:val="002068E1"/>
    <w:rsid w:val="002104EF"/>
    <w:rsid w:val="00213E8A"/>
    <w:rsid w:val="002147C9"/>
    <w:rsid w:val="00217CAA"/>
    <w:rsid w:val="002206F9"/>
    <w:rsid w:val="002378D2"/>
    <w:rsid w:val="00241989"/>
    <w:rsid w:val="0024653D"/>
    <w:rsid w:val="00247CEF"/>
    <w:rsid w:val="00251485"/>
    <w:rsid w:val="00257424"/>
    <w:rsid w:val="00260D76"/>
    <w:rsid w:val="002716FE"/>
    <w:rsid w:val="00274620"/>
    <w:rsid w:val="002822A5"/>
    <w:rsid w:val="00286C9F"/>
    <w:rsid w:val="0029101B"/>
    <w:rsid w:val="00291970"/>
    <w:rsid w:val="00294945"/>
    <w:rsid w:val="002B384F"/>
    <w:rsid w:val="002B3C46"/>
    <w:rsid w:val="002D10DC"/>
    <w:rsid w:val="002D311A"/>
    <w:rsid w:val="002F0FBE"/>
    <w:rsid w:val="002F2ED0"/>
    <w:rsid w:val="002F618A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76EF"/>
    <w:rsid w:val="00384E08"/>
    <w:rsid w:val="003859CB"/>
    <w:rsid w:val="00393FB3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1F75"/>
    <w:rsid w:val="004234CB"/>
    <w:rsid w:val="00437F58"/>
    <w:rsid w:val="004451BC"/>
    <w:rsid w:val="004451E9"/>
    <w:rsid w:val="004502A3"/>
    <w:rsid w:val="00455620"/>
    <w:rsid w:val="00456CE2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0983"/>
    <w:rsid w:val="004C1BD8"/>
    <w:rsid w:val="004C5D19"/>
    <w:rsid w:val="004D1E90"/>
    <w:rsid w:val="004D20C8"/>
    <w:rsid w:val="004E6C10"/>
    <w:rsid w:val="004F232E"/>
    <w:rsid w:val="004F250B"/>
    <w:rsid w:val="004F6CBA"/>
    <w:rsid w:val="005007DD"/>
    <w:rsid w:val="00506BD5"/>
    <w:rsid w:val="0051014A"/>
    <w:rsid w:val="00513910"/>
    <w:rsid w:val="005147B4"/>
    <w:rsid w:val="00552897"/>
    <w:rsid w:val="00553C56"/>
    <w:rsid w:val="00554EC2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25FE"/>
    <w:rsid w:val="00645F5F"/>
    <w:rsid w:val="00646BDF"/>
    <w:rsid w:val="00652933"/>
    <w:rsid w:val="00653B45"/>
    <w:rsid w:val="0065788F"/>
    <w:rsid w:val="0066146B"/>
    <w:rsid w:val="00672750"/>
    <w:rsid w:val="00680239"/>
    <w:rsid w:val="00686099"/>
    <w:rsid w:val="0069367E"/>
    <w:rsid w:val="00694012"/>
    <w:rsid w:val="00694858"/>
    <w:rsid w:val="00697F82"/>
    <w:rsid w:val="006A7FF1"/>
    <w:rsid w:val="006B1634"/>
    <w:rsid w:val="006C0E08"/>
    <w:rsid w:val="006D5E23"/>
    <w:rsid w:val="006E2639"/>
    <w:rsid w:val="006F73B0"/>
    <w:rsid w:val="007015D4"/>
    <w:rsid w:val="00707499"/>
    <w:rsid w:val="00722E6A"/>
    <w:rsid w:val="00727610"/>
    <w:rsid w:val="00731313"/>
    <w:rsid w:val="00731CAD"/>
    <w:rsid w:val="00735411"/>
    <w:rsid w:val="00741E42"/>
    <w:rsid w:val="00754EA8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4A48"/>
    <w:rsid w:val="007D632D"/>
    <w:rsid w:val="007E459E"/>
    <w:rsid w:val="007F7A92"/>
    <w:rsid w:val="008011A7"/>
    <w:rsid w:val="00802A9C"/>
    <w:rsid w:val="00807BA2"/>
    <w:rsid w:val="0081345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97F0D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205D3"/>
    <w:rsid w:val="009473DF"/>
    <w:rsid w:val="00951614"/>
    <w:rsid w:val="009571F2"/>
    <w:rsid w:val="0096022A"/>
    <w:rsid w:val="009614A8"/>
    <w:rsid w:val="00961F3E"/>
    <w:rsid w:val="00962279"/>
    <w:rsid w:val="009771DF"/>
    <w:rsid w:val="00980D18"/>
    <w:rsid w:val="00987B7C"/>
    <w:rsid w:val="00990354"/>
    <w:rsid w:val="009947E2"/>
    <w:rsid w:val="009A51D4"/>
    <w:rsid w:val="009A5B90"/>
    <w:rsid w:val="009B0621"/>
    <w:rsid w:val="009B5878"/>
    <w:rsid w:val="009B7A4C"/>
    <w:rsid w:val="009B7E2B"/>
    <w:rsid w:val="009C53B8"/>
    <w:rsid w:val="009E02C4"/>
    <w:rsid w:val="009E03C2"/>
    <w:rsid w:val="009F115E"/>
    <w:rsid w:val="00A00787"/>
    <w:rsid w:val="00A1487C"/>
    <w:rsid w:val="00A156DD"/>
    <w:rsid w:val="00A22209"/>
    <w:rsid w:val="00A455BC"/>
    <w:rsid w:val="00A67AAE"/>
    <w:rsid w:val="00AA7ABF"/>
    <w:rsid w:val="00AB129F"/>
    <w:rsid w:val="00AC1A64"/>
    <w:rsid w:val="00AC2AC0"/>
    <w:rsid w:val="00AC77FB"/>
    <w:rsid w:val="00AD0193"/>
    <w:rsid w:val="00AE0B49"/>
    <w:rsid w:val="00AE4272"/>
    <w:rsid w:val="00AE6C2D"/>
    <w:rsid w:val="00AE77E1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57535"/>
    <w:rsid w:val="00B668A7"/>
    <w:rsid w:val="00B83296"/>
    <w:rsid w:val="00B856A2"/>
    <w:rsid w:val="00B960E4"/>
    <w:rsid w:val="00B9721E"/>
    <w:rsid w:val="00BA15D7"/>
    <w:rsid w:val="00BA5A56"/>
    <w:rsid w:val="00BB3162"/>
    <w:rsid w:val="00BB45FE"/>
    <w:rsid w:val="00BB4BFD"/>
    <w:rsid w:val="00BB6404"/>
    <w:rsid w:val="00BC1AA8"/>
    <w:rsid w:val="00BC2408"/>
    <w:rsid w:val="00BC7E07"/>
    <w:rsid w:val="00BD1FCF"/>
    <w:rsid w:val="00BD6C68"/>
    <w:rsid w:val="00BE3E35"/>
    <w:rsid w:val="00BF167C"/>
    <w:rsid w:val="00C01360"/>
    <w:rsid w:val="00C04BBF"/>
    <w:rsid w:val="00C10D28"/>
    <w:rsid w:val="00C10E37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220F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33C1D"/>
    <w:rsid w:val="00D3463D"/>
    <w:rsid w:val="00D42108"/>
    <w:rsid w:val="00D63747"/>
    <w:rsid w:val="00D67A86"/>
    <w:rsid w:val="00D71C47"/>
    <w:rsid w:val="00D74DEC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F58DF"/>
    <w:rsid w:val="00DF67B7"/>
    <w:rsid w:val="00E07FF1"/>
    <w:rsid w:val="00E12770"/>
    <w:rsid w:val="00E1627A"/>
    <w:rsid w:val="00E316BD"/>
    <w:rsid w:val="00E328AF"/>
    <w:rsid w:val="00E362B4"/>
    <w:rsid w:val="00E4112D"/>
    <w:rsid w:val="00E50C62"/>
    <w:rsid w:val="00E61890"/>
    <w:rsid w:val="00E726B7"/>
    <w:rsid w:val="00E72E84"/>
    <w:rsid w:val="00E76188"/>
    <w:rsid w:val="00E846AE"/>
    <w:rsid w:val="00E848FB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208ED"/>
    <w:rsid w:val="00F30F71"/>
    <w:rsid w:val="00F3116E"/>
    <w:rsid w:val="00F324CB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163C"/>
    <w:rsid w:val="00FB34EF"/>
    <w:rsid w:val="00FD64EA"/>
    <w:rsid w:val="00FD7F4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6425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642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markedcontent">
    <w:name w:val="markedcontent"/>
    <w:basedOn w:val="Predvolenpsmoodseku"/>
    <w:rsid w:val="0064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6228-7CC9-4515-8034-F012B2FA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4</cp:revision>
  <dcterms:created xsi:type="dcterms:W3CDTF">2023-12-13T11:26:00Z</dcterms:created>
  <dcterms:modified xsi:type="dcterms:W3CDTF">2023-12-13T11:36:00Z</dcterms:modified>
</cp:coreProperties>
</file>