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380CC" w14:textId="681575E1" w:rsidR="001A10C1" w:rsidRDefault="00A00787" w:rsidP="001A10C1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SKUEV0</w:t>
      </w:r>
      <w:r w:rsidR="00525E45">
        <w:rPr>
          <w:rFonts w:ascii="Times New Roman" w:hAnsi="Times New Roman" w:cs="Times New Roman"/>
          <w:b/>
          <w:sz w:val="24"/>
          <w:szCs w:val="24"/>
        </w:rPr>
        <w:t xml:space="preserve">222 </w:t>
      </w:r>
      <w:proofErr w:type="spellStart"/>
      <w:r w:rsidR="00525E45">
        <w:rPr>
          <w:rFonts w:ascii="Times New Roman" w:hAnsi="Times New Roman" w:cs="Times New Roman"/>
          <w:b/>
          <w:sz w:val="24"/>
          <w:szCs w:val="24"/>
        </w:rPr>
        <w:t>Jelešňa</w:t>
      </w:r>
      <w:proofErr w:type="spellEnd"/>
    </w:p>
    <w:p w14:paraId="56872296" w14:textId="77777777" w:rsidR="00AE77E1" w:rsidRDefault="00AE77E1" w:rsidP="00EF2001">
      <w:pPr>
        <w:spacing w:line="240" w:lineRule="auto"/>
        <w:rPr>
          <w:rFonts w:ascii="Times New Roman" w:hAnsi="Times New Roman" w:cs="Times New Roman"/>
          <w:b/>
        </w:rPr>
      </w:pPr>
    </w:p>
    <w:p w14:paraId="767D0C8F" w14:textId="74988D7E" w:rsidR="002822A5" w:rsidRDefault="002822A5" w:rsidP="00EF2001">
      <w:pPr>
        <w:spacing w:line="240" w:lineRule="auto"/>
        <w:rPr>
          <w:rFonts w:ascii="Times New Roman" w:hAnsi="Times New Roman" w:cs="Times New Roman"/>
          <w:b/>
        </w:rPr>
      </w:pPr>
      <w:r w:rsidRPr="00DC071D">
        <w:rPr>
          <w:rFonts w:ascii="Times New Roman" w:hAnsi="Times New Roman" w:cs="Times New Roman"/>
          <w:b/>
        </w:rPr>
        <w:t>Ciele ochrany</w:t>
      </w:r>
      <w:r w:rsidR="00B211F8" w:rsidRPr="00DC071D">
        <w:rPr>
          <w:rFonts w:ascii="Times New Roman" w:hAnsi="Times New Roman" w:cs="Times New Roman"/>
          <w:b/>
        </w:rPr>
        <w:t>:</w:t>
      </w:r>
    </w:p>
    <w:p w14:paraId="1B791AFA" w14:textId="12D65DD2" w:rsidR="00525E45" w:rsidRDefault="00525E45" w:rsidP="00EF2001">
      <w:pPr>
        <w:spacing w:line="240" w:lineRule="auto"/>
        <w:rPr>
          <w:rFonts w:ascii="Times New Roman" w:hAnsi="Times New Roman" w:cs="Times New Roman"/>
          <w:b/>
        </w:rPr>
      </w:pPr>
    </w:p>
    <w:p w14:paraId="35183C31" w14:textId="65270206" w:rsidR="001613E9" w:rsidRDefault="004D43FA" w:rsidP="001613E9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Zlepšenie </w:t>
      </w:r>
      <w:r w:rsidR="001613E9" w:rsidRPr="002378D2">
        <w:rPr>
          <w:rFonts w:ascii="Times New Roman" w:hAnsi="Times New Roman" w:cs="Times New Roman"/>
          <w:color w:val="000000"/>
          <w:sz w:val="24"/>
          <w:szCs w:val="24"/>
        </w:rPr>
        <w:t>stavu</w:t>
      </w:r>
      <w:r w:rsidR="001613E9">
        <w:rPr>
          <w:rFonts w:ascii="Times New Roman" w:hAnsi="Times New Roman" w:cs="Times New Roman"/>
          <w:color w:val="000000"/>
          <w:sz w:val="24"/>
          <w:szCs w:val="24"/>
        </w:rPr>
        <w:t xml:space="preserve"> biotopu </w:t>
      </w:r>
      <w:r w:rsidR="001613E9">
        <w:rPr>
          <w:rFonts w:ascii="Times New Roman" w:hAnsi="Times New Roman" w:cs="Times New Roman"/>
          <w:b/>
          <w:color w:val="000000"/>
          <w:sz w:val="24"/>
          <w:szCs w:val="24"/>
        </w:rPr>
        <w:t>Ra3 (7140</w:t>
      </w:r>
      <w:r w:rsidR="001613E9" w:rsidRPr="007657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1613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Prechodné rašeliniská a trasoviská </w:t>
      </w:r>
      <w:r w:rsidR="001613E9"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1276"/>
        <w:gridCol w:w="5245"/>
      </w:tblGrid>
      <w:tr w:rsidR="001613E9" w:rsidRPr="00680239" w14:paraId="757E449E" w14:textId="77777777" w:rsidTr="004F250B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EDD4" w14:textId="77777777" w:rsidR="001613E9" w:rsidRPr="00680239" w:rsidRDefault="001613E9" w:rsidP="004F25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C98A" w14:textId="77777777" w:rsidR="001613E9" w:rsidRPr="00680239" w:rsidRDefault="001613E9" w:rsidP="004F25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7FC9" w14:textId="77777777" w:rsidR="001613E9" w:rsidRPr="00680239" w:rsidRDefault="001613E9" w:rsidP="004F25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14E4" w14:textId="77777777" w:rsidR="001613E9" w:rsidRPr="00680239" w:rsidRDefault="001613E9" w:rsidP="004F25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947B1E" w:rsidRPr="00680239" w14:paraId="6A4AB25D" w14:textId="77777777" w:rsidTr="004F250B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60C8" w14:textId="77777777" w:rsidR="00947B1E" w:rsidRPr="00680239" w:rsidRDefault="00947B1E" w:rsidP="00947B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840B" w14:textId="77777777" w:rsidR="00947B1E" w:rsidRPr="00680239" w:rsidRDefault="00947B1E" w:rsidP="00947B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53FF" w14:textId="0543DB35" w:rsidR="00947B1E" w:rsidRPr="00680239" w:rsidRDefault="00947B1E" w:rsidP="00947B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3,3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0160" w14:textId="236DD31A" w:rsidR="00947B1E" w:rsidRPr="00680239" w:rsidRDefault="00947B1E" w:rsidP="00947B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Dosiahnuť zvýšenie výmery biotopu zo súčasnej výmery 0,25 ha na min. 3,3 ha</w:t>
            </w: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biotopu. </w:t>
            </w:r>
          </w:p>
        </w:tc>
      </w:tr>
      <w:tr w:rsidR="001613E9" w:rsidRPr="00680239" w14:paraId="488A55C0" w14:textId="77777777" w:rsidTr="004F250B">
        <w:trPr>
          <w:trHeight w:val="169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9411" w14:textId="77777777" w:rsidR="001613E9" w:rsidRPr="00680239" w:rsidRDefault="001613E9" w:rsidP="004F25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3ACC" w14:textId="77777777" w:rsidR="001613E9" w:rsidRPr="00680239" w:rsidRDefault="001613E9" w:rsidP="004F25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</w:t>
            </w: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</w:t>
            </w: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9029" w14:textId="77777777" w:rsidR="001613E9" w:rsidRPr="00680239" w:rsidRDefault="001613E9" w:rsidP="004F25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6 druhov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2586" w14:textId="77777777" w:rsidR="001613E9" w:rsidRPr="00680239" w:rsidRDefault="001613E9" w:rsidP="004F250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Agrostis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canina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canescens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echinata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nigra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Epilobium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palustre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Eriophorum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angustifolium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Viola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palustris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rostrata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Comarum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palustre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Menyanthes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trifoliata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Pedicularis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palustris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Caltha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palustris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Drosera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rotundifolia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Oxyccocus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palustris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,</w:t>
            </w:r>
          </w:p>
          <w:p w14:paraId="003D5B1A" w14:textId="77777777" w:rsidR="001613E9" w:rsidRPr="00680239" w:rsidRDefault="001613E9" w:rsidP="004F250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proofErr w:type="spellStart"/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Machorasty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6802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Calliergonella</w:t>
            </w:r>
            <w:proofErr w:type="spellEnd"/>
            <w:r w:rsidRPr="006802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cuspidata</w:t>
            </w:r>
            <w:proofErr w:type="spellEnd"/>
            <w:r w:rsidRPr="006802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Climacium</w:t>
            </w:r>
            <w:proofErr w:type="spellEnd"/>
            <w:r w:rsidRPr="006802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dendroides</w:t>
            </w:r>
            <w:proofErr w:type="spellEnd"/>
            <w:r w:rsidRPr="006802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,</w:t>
            </w:r>
          </w:p>
          <w:p w14:paraId="4CDCAA9E" w14:textId="77777777" w:rsidR="001613E9" w:rsidRPr="00680239" w:rsidRDefault="001613E9" w:rsidP="004F25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802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Plagiomnium</w:t>
            </w:r>
            <w:proofErr w:type="spellEnd"/>
            <w:r w:rsidRPr="006802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affine</w:t>
            </w:r>
            <w:proofErr w:type="spellEnd"/>
            <w:r w:rsidRPr="006802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Rhytidiadelphus</w:t>
            </w:r>
            <w:proofErr w:type="spellEnd"/>
            <w:r w:rsidRPr="006802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squarrosus</w:t>
            </w:r>
            <w:proofErr w:type="spellEnd"/>
            <w:r w:rsidRPr="006802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,</w:t>
            </w:r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Sphagnum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capillifolium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Sphagnum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squarrosum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Calliergon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stramineum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Sphagnum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</w:t>
            </w:r>
            <w:r w:rsidRPr="00680239">
              <w:rPr>
                <w:rFonts w:ascii="Times New Roman" w:eastAsia="Times New Roman" w:hAnsi="Times New Roman" w:cs="Times New Roman"/>
                <w:i/>
                <w:strike/>
                <w:color w:val="000000"/>
                <w:sz w:val="20"/>
                <w:szCs w:val="20"/>
                <w:lang w:eastAsia="sk-SK"/>
              </w:rPr>
              <w:t>l</w:t>
            </w:r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ustre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Sphagnum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subsecundum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Sphagnum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teres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Warnstorfia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exanulata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Sphagnum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squarrosum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1613E9" w:rsidRPr="00680239" w14:paraId="0AF7BAB4" w14:textId="77777777" w:rsidTr="004F250B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939E" w14:textId="77777777" w:rsidR="001613E9" w:rsidRPr="00680239" w:rsidRDefault="001613E9" w:rsidP="004F25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11AE" w14:textId="77777777" w:rsidR="001613E9" w:rsidRPr="00680239" w:rsidRDefault="001613E9" w:rsidP="004F25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0EA9" w14:textId="77777777" w:rsidR="001613E9" w:rsidRPr="00680239" w:rsidRDefault="001613E9" w:rsidP="004F25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10 %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4A0D" w14:textId="77777777" w:rsidR="001613E9" w:rsidRPr="00680239" w:rsidRDefault="001613E9" w:rsidP="004F25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Dosiahnuté nízke zastúpenie drevín a krovín.</w:t>
            </w:r>
          </w:p>
        </w:tc>
      </w:tr>
      <w:tr w:rsidR="001613E9" w:rsidRPr="00680239" w14:paraId="6F70A728" w14:textId="77777777" w:rsidTr="004F250B">
        <w:trPr>
          <w:trHeight w:val="8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4708" w14:textId="77777777" w:rsidR="001613E9" w:rsidRPr="00680239" w:rsidRDefault="001613E9" w:rsidP="004F25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/inváznych/invázne sa správajúcich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EE3A" w14:textId="77777777" w:rsidR="001613E9" w:rsidRPr="00680239" w:rsidRDefault="001613E9" w:rsidP="004F25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pokrytia/25 m</w:t>
            </w: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E543" w14:textId="77777777" w:rsidR="001613E9" w:rsidRPr="00680239" w:rsidRDefault="001613E9" w:rsidP="004F25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0C0B" w14:textId="77777777" w:rsidR="001613E9" w:rsidRPr="00680239" w:rsidRDefault="001613E9" w:rsidP="004F250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výskytu nepôvodných druhov.</w:t>
            </w:r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1613E9" w:rsidRPr="0000010E" w14:paraId="5E373718" w14:textId="77777777" w:rsidTr="004F250B">
        <w:trPr>
          <w:trHeight w:val="8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AD54" w14:textId="77777777" w:rsidR="001613E9" w:rsidRPr="00680239" w:rsidRDefault="001613E9" w:rsidP="004F25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Vodný režim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5CD7" w14:textId="77777777" w:rsidR="001613E9" w:rsidRPr="00680239" w:rsidRDefault="001613E9" w:rsidP="004F25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Výskyt zásahov na odvodnenie lokality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5581B" w14:textId="77777777" w:rsidR="001613E9" w:rsidRPr="00680239" w:rsidRDefault="001613E9" w:rsidP="004F25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DFE6" w14:textId="77777777" w:rsidR="001613E9" w:rsidRDefault="001613E9" w:rsidP="004F25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 rámci biotopu sa vyskytujú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šlenky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alebo iné terénne depresie s vodou, bez evidentného výskytu presychania alebo odvodňovacích zásahov.</w:t>
            </w:r>
          </w:p>
        </w:tc>
      </w:tr>
    </w:tbl>
    <w:p w14:paraId="1887526C" w14:textId="77777777" w:rsidR="00E12770" w:rsidRDefault="00E12770" w:rsidP="00E12770">
      <w:pPr>
        <w:spacing w:line="240" w:lineRule="auto"/>
        <w:ind w:left="-284"/>
        <w:rPr>
          <w:rFonts w:ascii="Times New Roman" w:hAnsi="Times New Roman" w:cs="Times New Roman"/>
          <w:b/>
        </w:rPr>
      </w:pPr>
    </w:p>
    <w:p w14:paraId="13E76B79" w14:textId="5C62C4E3" w:rsidR="002F0FBE" w:rsidRDefault="002F0FBE" w:rsidP="00C849FA">
      <w:pPr>
        <w:spacing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Zlepšenie stavu biotopu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Ra6 (7230</w:t>
      </w:r>
      <w:r w:rsidRPr="007657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Slatiny s vysokým obsahom báz </w:t>
      </w:r>
      <w:r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276"/>
        <w:gridCol w:w="992"/>
        <w:gridCol w:w="5812"/>
      </w:tblGrid>
      <w:tr w:rsidR="002F0FBE" w:rsidRPr="0000010E" w14:paraId="6E01331C" w14:textId="77777777" w:rsidTr="00C849FA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2C9B7" w14:textId="77777777" w:rsidR="002F0FBE" w:rsidRPr="00775056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3344" w14:textId="77777777" w:rsidR="002F0FBE" w:rsidRPr="00775056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8A3FA" w14:textId="77777777" w:rsidR="002F0FBE" w:rsidRPr="00775056" w:rsidRDefault="002F0FBE" w:rsidP="00AF4D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7735A" w14:textId="77777777" w:rsidR="002F0FBE" w:rsidRPr="00775056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2F0FBE" w:rsidRPr="0000010E" w14:paraId="5F2B5576" w14:textId="77777777" w:rsidTr="00C849FA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2BD45" w14:textId="77777777" w:rsidR="002F0FBE" w:rsidRPr="00775056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E2E5" w14:textId="77777777" w:rsidR="002F0FBE" w:rsidRPr="00775056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5B6F" w14:textId="360FB182" w:rsidR="002F0FBE" w:rsidRPr="00775056" w:rsidRDefault="004D43FA" w:rsidP="00AF4D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</w:t>
            </w:r>
            <w:r w:rsidR="00525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F30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3,23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48EEA" w14:textId="0530F7F7" w:rsidR="002F0FBE" w:rsidRPr="00775056" w:rsidRDefault="004D43FA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výmeru biotopu, príp. zvýšiť odstránením sukcesie</w:t>
            </w:r>
          </w:p>
        </w:tc>
      </w:tr>
      <w:tr w:rsidR="002F0FBE" w:rsidRPr="0000010E" w14:paraId="4C915402" w14:textId="77777777" w:rsidTr="00C849FA">
        <w:trPr>
          <w:trHeight w:val="169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8163" w14:textId="77777777" w:rsidR="002F0FBE" w:rsidRPr="00775056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6D90" w14:textId="77777777" w:rsidR="002F0FBE" w:rsidRPr="00775056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E270" w14:textId="77777777" w:rsidR="002F0FBE" w:rsidRPr="00775056" w:rsidRDefault="002F0FBE" w:rsidP="00AF4D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10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druhov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B436" w14:textId="77777777" w:rsidR="002F0FBE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Blysmus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compressus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davalliana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dioica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lepidocarpa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flava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Dactylorhiza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incarnata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Dactylorhiza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majalis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Eleocharis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quinqueflora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Epipactis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palustris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Eriophorum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angustifolium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Eriophorum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latifolium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Gymnadenia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densiflora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Juncus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subnodulosus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Parnassia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palustris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Pedicularis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Primulla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farinosa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Caltha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Drosera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rotundifolia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Succisa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Sesleria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caerulea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Triglochin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Valeriana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dioica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Vaeriana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simplicifolia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,</w:t>
            </w:r>
          </w:p>
          <w:p w14:paraId="58764712" w14:textId="77777777" w:rsidR="002F0FBE" w:rsidRPr="00775056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0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Machorasty</w:t>
            </w:r>
            <w:proofErr w:type="spellEnd"/>
            <w:r w:rsidRPr="00E0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Calliergonella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cuspidata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Campylium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stellatum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Bryum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pseudotriquetrum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Drepanocladus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cossonii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Hypnum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Tomenthypnum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nitens</w:t>
            </w:r>
            <w:proofErr w:type="spellEnd"/>
          </w:p>
        </w:tc>
      </w:tr>
      <w:tr w:rsidR="002F0FBE" w:rsidRPr="0000010E" w14:paraId="470C32E3" w14:textId="77777777" w:rsidTr="00C849FA">
        <w:trPr>
          <w:trHeight w:val="2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9BBA" w14:textId="77777777" w:rsidR="002F0FBE" w:rsidRPr="00775056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327F4" w14:textId="77777777" w:rsidR="002F0FBE" w:rsidRPr="00775056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09F5E" w14:textId="77777777" w:rsidR="002F0FBE" w:rsidRPr="00775056" w:rsidRDefault="002F0FBE" w:rsidP="00AF4D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2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0 %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D05C" w14:textId="77777777" w:rsidR="002F0FBE" w:rsidRPr="00775056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 nízke zastúpenie drevín 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krovín</w:t>
            </w:r>
          </w:p>
        </w:tc>
      </w:tr>
      <w:tr w:rsidR="002F0FBE" w:rsidRPr="0000010E" w14:paraId="09D74F81" w14:textId="77777777" w:rsidTr="00C849FA">
        <w:trPr>
          <w:trHeight w:val="8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03A9" w14:textId="77777777" w:rsidR="002F0FBE" w:rsidRPr="00775056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 xml:space="preserve">Zastúpenie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3208" w14:textId="77777777" w:rsidR="002F0FBE" w:rsidRPr="00775056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pokrytia/25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02E6" w14:textId="77777777" w:rsidR="002F0FBE" w:rsidRPr="00775056" w:rsidRDefault="002F0FBE" w:rsidP="00AF4D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menej ako 1 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%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5E88D" w14:textId="77777777" w:rsidR="002F0FBE" w:rsidRPr="00775056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zastúpenie nepôvodných a </w:t>
            </w:r>
            <w:proofErr w:type="spellStart"/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sukcesných</w:t>
            </w:r>
            <w:proofErr w:type="spellEnd"/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druhov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(zastúpenie súvislých porastov </w:t>
            </w:r>
            <w:proofErr w:type="spellStart"/>
            <w:r w:rsidRPr="00E07FF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Molinia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.) </w:t>
            </w:r>
          </w:p>
        </w:tc>
      </w:tr>
      <w:tr w:rsidR="002F0FBE" w:rsidRPr="0000010E" w14:paraId="26142D4A" w14:textId="77777777" w:rsidTr="00C849FA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1B905" w14:textId="77777777" w:rsidR="002F0FBE" w:rsidRPr="00775056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Vodný režim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3AE49" w14:textId="77777777" w:rsidR="002F0FBE" w:rsidRPr="00775056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Výskyt zásahov na odvodnenie lokality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20C92" w14:textId="77777777" w:rsidR="002F0FBE" w:rsidRDefault="002F0FBE" w:rsidP="00AF4D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92603" w14:textId="77777777" w:rsidR="002F0FBE" w:rsidRPr="00D33C1D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 rámci biotopu sa vyskytujú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šlenky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alebo iné terénne depresie s vodou, bez evidentného výskytu presychania alebo odvodňovacích zásahov</w:t>
            </w:r>
          </w:p>
        </w:tc>
      </w:tr>
    </w:tbl>
    <w:p w14:paraId="6F1A2E72" w14:textId="77777777" w:rsidR="002F0FBE" w:rsidRDefault="002F0FBE" w:rsidP="002F0FB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724221B" w14:textId="77777777" w:rsidR="0098138C" w:rsidRDefault="0098138C" w:rsidP="0098138C">
      <w:pPr>
        <w:ind w:left="-28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Zachovanie </w:t>
      </w:r>
      <w:r w:rsidRPr="007823C5">
        <w:rPr>
          <w:rFonts w:ascii="Times New Roman" w:hAnsi="Times New Roman" w:cs="Times New Roman"/>
          <w:color w:val="000000"/>
        </w:rPr>
        <w:t xml:space="preserve">stavu biotopu </w:t>
      </w:r>
      <w:r w:rsidRPr="00C43C73">
        <w:rPr>
          <w:rFonts w:ascii="Times New Roman" w:hAnsi="Times New Roman" w:cs="Times New Roman"/>
          <w:b/>
          <w:color w:val="000000"/>
        </w:rPr>
        <w:t>Ls7.3</w:t>
      </w:r>
      <w:r w:rsidRPr="00C43C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C667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EC667E">
        <w:rPr>
          <w:rFonts w:ascii="Times New Roman" w:hAnsi="Times New Roman" w:cs="Times New Roman"/>
          <w:b/>
          <w:sz w:val="24"/>
          <w:szCs w:val="24"/>
        </w:rPr>
        <w:t>0</w:t>
      </w:r>
      <w:r w:rsidRPr="002D10DC">
        <w:rPr>
          <w:rFonts w:ascii="Times New Roman" w:hAnsi="Times New Roman" w:cs="Times New Roman"/>
          <w:b/>
          <w:sz w:val="24"/>
          <w:szCs w:val="24"/>
        </w:rPr>
        <w:t>*</w:t>
      </w:r>
      <w:r w:rsidRPr="00EC667E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 xml:space="preserve">Rašeliniskové smrekové lesy </w:t>
      </w:r>
      <w:r w:rsidRPr="00EC667E">
        <w:rPr>
          <w:rFonts w:ascii="Times New Roman" w:hAnsi="Times New Roman" w:cs="Times New Roman"/>
          <w:sz w:val="24"/>
          <w:szCs w:val="24"/>
        </w:rPr>
        <w:t>za splnenia nasledovných atribútov:</w:t>
      </w:r>
    </w:p>
    <w:tbl>
      <w:tblPr>
        <w:tblW w:w="523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0"/>
        <w:gridCol w:w="1235"/>
        <w:gridCol w:w="1397"/>
        <w:gridCol w:w="5408"/>
      </w:tblGrid>
      <w:tr w:rsidR="0098138C" w:rsidRPr="002D10DC" w14:paraId="012C929E" w14:textId="77777777" w:rsidTr="00142EB6">
        <w:trPr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D0BF3" w14:textId="77777777" w:rsidR="0098138C" w:rsidRPr="002D10DC" w:rsidRDefault="0098138C" w:rsidP="0014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1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02E37" w14:textId="77777777" w:rsidR="0098138C" w:rsidRPr="002D10DC" w:rsidRDefault="0098138C" w:rsidP="0014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9ABA7" w14:textId="77777777" w:rsidR="0098138C" w:rsidRPr="002D10DC" w:rsidRDefault="0098138C" w:rsidP="0014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52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AFDEF" w14:textId="77777777" w:rsidR="0098138C" w:rsidRPr="002D10DC" w:rsidRDefault="0098138C" w:rsidP="0014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98138C" w:rsidRPr="002D10DC" w14:paraId="613E56EA" w14:textId="77777777" w:rsidTr="00142EB6">
        <w:trPr>
          <w:trHeight w:val="2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1743E" w14:textId="77777777" w:rsidR="0098138C" w:rsidRPr="002D10DC" w:rsidRDefault="0098138C" w:rsidP="00142EB6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 xml:space="preserve">Výmera biotopu </w:t>
            </w:r>
          </w:p>
        </w:tc>
        <w:tc>
          <w:tcPr>
            <w:tcW w:w="11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534E2" w14:textId="77777777" w:rsidR="0098138C" w:rsidRPr="002D10DC" w:rsidRDefault="0098138C" w:rsidP="0014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A9696" w14:textId="77777777" w:rsidR="0098138C" w:rsidRPr="002D10DC" w:rsidRDefault="0098138C" w:rsidP="00142E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Neznáma,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neotvrdená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mapovaním</w:t>
            </w:r>
          </w:p>
        </w:tc>
        <w:tc>
          <w:tcPr>
            <w:tcW w:w="52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FB778" w14:textId="77777777" w:rsidR="0098138C" w:rsidRPr="002D10DC" w:rsidRDefault="0098138C" w:rsidP="0014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Neznáma, nebola potvrdená mapovaním – výskyt biotopu by bol na úkor biotopu 7140, odhadovaná bola v SDF výmera 1,99 ha, ktorá je nadhodnotená. </w:t>
            </w:r>
          </w:p>
        </w:tc>
      </w:tr>
      <w:tr w:rsidR="0098138C" w:rsidRPr="002D10DC" w14:paraId="678EB13A" w14:textId="77777777" w:rsidTr="00142EB6">
        <w:trPr>
          <w:trHeight w:val="179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928C6" w14:textId="77777777" w:rsidR="0098138C" w:rsidRPr="002D10DC" w:rsidRDefault="0098138C" w:rsidP="0014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Zastúpenie charakteristických drevín</w:t>
            </w:r>
          </w:p>
        </w:tc>
        <w:tc>
          <w:tcPr>
            <w:tcW w:w="11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DFEA3" w14:textId="77777777" w:rsidR="0098138C" w:rsidRPr="002D10DC" w:rsidRDefault="0098138C" w:rsidP="0014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E6A5E" w14:textId="77777777" w:rsidR="0098138C" w:rsidRPr="002D10DC" w:rsidRDefault="0098138C" w:rsidP="0014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najmenej 90 %</w:t>
            </w:r>
          </w:p>
          <w:p w14:paraId="3FA33FA3" w14:textId="77777777" w:rsidR="0098138C" w:rsidRPr="002D10DC" w:rsidRDefault="0098138C" w:rsidP="0014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2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D1F7C" w14:textId="77777777" w:rsidR="0098138C" w:rsidRPr="002D10DC" w:rsidRDefault="0098138C" w:rsidP="0014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7C3DDEFD" w14:textId="77777777" w:rsidR="0098138C" w:rsidRPr="002D10DC" w:rsidRDefault="0098138C" w:rsidP="00142E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Ls7.3 Rašeliniskové smrekové lesy:</w:t>
            </w:r>
          </w:p>
          <w:p w14:paraId="6CA0955B" w14:textId="77777777" w:rsidR="0098138C" w:rsidRPr="002D10DC" w:rsidRDefault="0098138C" w:rsidP="00142E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alba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&lt;20%,</w:t>
            </w:r>
            <w:r w:rsidRPr="002D10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Acer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pseudoplatanus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Alnus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glutinosa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A.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incana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Betula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pubescens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Larix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decidua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 &lt;5%, </w:t>
            </w:r>
            <w:proofErr w:type="spellStart"/>
            <w:r w:rsidRPr="002D10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Picea</w:t>
            </w:r>
            <w:proofErr w:type="spellEnd"/>
            <w:r w:rsidRPr="002D10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abies</w:t>
            </w:r>
            <w:proofErr w:type="spellEnd"/>
            <w:r w:rsidRPr="002D10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</w:t>
            </w:r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Pinus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mugo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P.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sylvestris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&lt;20%,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Populus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tremula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Salix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 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spp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Sorbus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aucuparia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</w:p>
        </w:tc>
      </w:tr>
      <w:tr w:rsidR="0098138C" w:rsidRPr="002D10DC" w14:paraId="707A7121" w14:textId="77777777" w:rsidTr="00142EB6">
        <w:trPr>
          <w:trHeight w:val="1733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1F0EF" w14:textId="77777777" w:rsidR="0098138C" w:rsidRPr="002D10DC" w:rsidRDefault="0098138C" w:rsidP="0014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synúzie</w:t>
            </w:r>
            <w:proofErr w:type="spellEnd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 xml:space="preserve"> podrastu (</w:t>
            </w:r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bylín, krov,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machorastov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, lišajníkov)</w:t>
            </w:r>
          </w:p>
        </w:tc>
        <w:tc>
          <w:tcPr>
            <w:tcW w:w="11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4EC1F" w14:textId="77777777" w:rsidR="0098138C" w:rsidRPr="002D10DC" w:rsidRDefault="0098138C" w:rsidP="00142EB6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33F4B" w14:textId="77777777" w:rsidR="0098138C" w:rsidRPr="002D10DC" w:rsidRDefault="0098138C" w:rsidP="00142EB6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52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01EDF" w14:textId="77777777" w:rsidR="0098138C" w:rsidRPr="002D10DC" w:rsidRDefault="0098138C" w:rsidP="00142EB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2E5D5051" w14:textId="77777777" w:rsidR="0098138C" w:rsidRPr="002D10DC" w:rsidRDefault="0098138C" w:rsidP="00142E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Ls7.3 Rašeliniskové smrekové lesy:</w:t>
            </w:r>
          </w:p>
          <w:p w14:paraId="4CDEFE47" w14:textId="77777777" w:rsidR="0098138C" w:rsidRPr="001268C3" w:rsidRDefault="0098138C" w:rsidP="00142EB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1268C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Calamagrostis</w:t>
            </w:r>
            <w:proofErr w:type="spellEnd"/>
            <w:r w:rsidRPr="001268C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268C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villosa</w:t>
            </w:r>
            <w:proofErr w:type="spellEnd"/>
            <w:r w:rsidRPr="001268C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Calluna</w:t>
            </w:r>
            <w:proofErr w:type="spellEnd"/>
            <w:r w:rsidRPr="002D10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vulgaris</w:t>
            </w:r>
            <w:proofErr w:type="spellEnd"/>
            <w:r w:rsidRPr="002D10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1268C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Carex</w:t>
            </w:r>
            <w:proofErr w:type="spellEnd"/>
            <w:r w:rsidRPr="001268C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268C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canescens</w:t>
            </w:r>
            <w:proofErr w:type="spellEnd"/>
            <w:r w:rsidRPr="001268C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Carex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echinata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1268C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Equisetum</w:t>
            </w:r>
            <w:proofErr w:type="spellEnd"/>
            <w:r w:rsidRPr="001268C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268C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sylvaticum</w:t>
            </w:r>
            <w:proofErr w:type="spellEnd"/>
            <w:r w:rsidRPr="001268C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1268C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Eriophorum</w:t>
            </w:r>
            <w:proofErr w:type="spellEnd"/>
            <w:r w:rsidRPr="001268C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268C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angustifolium</w:t>
            </w:r>
            <w:proofErr w:type="spellEnd"/>
            <w:r w:rsidRPr="001268C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r w:rsidRPr="001268C3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E. </w:t>
            </w:r>
            <w:proofErr w:type="spellStart"/>
            <w:r w:rsidRPr="001268C3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vaginatum</w:t>
            </w:r>
            <w:proofErr w:type="spellEnd"/>
            <w:r w:rsidRPr="001268C3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,</w:t>
            </w:r>
            <w:r w:rsidRPr="001268C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Empetrum</w:t>
            </w:r>
            <w:proofErr w:type="spellEnd"/>
            <w:r w:rsidRPr="002D10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nigrum</w:t>
            </w:r>
            <w:proofErr w:type="spellEnd"/>
            <w:r w:rsidRPr="002D10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2D10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Ledum</w:t>
            </w:r>
            <w:proofErr w:type="spellEnd"/>
            <w:r w:rsidRPr="002D10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palustre</w:t>
            </w:r>
            <w:proofErr w:type="spellEnd"/>
            <w:r w:rsidRPr="002D10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1268C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Listera</w:t>
            </w:r>
            <w:proofErr w:type="spellEnd"/>
            <w:r w:rsidRPr="001268C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268C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cordata</w:t>
            </w:r>
            <w:proofErr w:type="spellEnd"/>
            <w:r w:rsidRPr="001268C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1268C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Lycopodium</w:t>
            </w:r>
            <w:proofErr w:type="spellEnd"/>
            <w:r w:rsidRPr="001268C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268C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annotinum</w:t>
            </w:r>
            <w:proofErr w:type="spellEnd"/>
            <w:r w:rsidRPr="001268C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1268C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Trientalis</w:t>
            </w:r>
            <w:proofErr w:type="spellEnd"/>
            <w:r w:rsidRPr="001268C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268C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europea</w:t>
            </w:r>
            <w:proofErr w:type="spellEnd"/>
            <w:r w:rsidRPr="001268C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2D10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Oxycoccus</w:t>
            </w:r>
            <w:proofErr w:type="spellEnd"/>
            <w:r w:rsidRPr="002D10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palustris</w:t>
            </w:r>
            <w:proofErr w:type="spellEnd"/>
            <w:r w:rsidRPr="002D10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2D10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Vaccinium</w:t>
            </w:r>
            <w:proofErr w:type="spellEnd"/>
            <w:r w:rsidRPr="002D10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uliginosum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</w:t>
            </w:r>
            <w:r w:rsidRPr="001268C3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268C3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Vaccinium</w:t>
            </w:r>
            <w:proofErr w:type="spellEnd"/>
            <w:r w:rsidRPr="001268C3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268C3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myrtillus</w:t>
            </w:r>
            <w:proofErr w:type="spellEnd"/>
            <w:r w:rsidRPr="001268C3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,</w:t>
            </w:r>
            <w:r w:rsidRPr="001268C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V. </w:t>
            </w:r>
            <w:proofErr w:type="spellStart"/>
            <w:r w:rsidRPr="001268C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vitis-idaea</w:t>
            </w:r>
            <w:proofErr w:type="spellEnd"/>
            <w:r w:rsidRPr="001268C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  <w:p w14:paraId="21CDD53E" w14:textId="77777777" w:rsidR="0098138C" w:rsidRPr="002D10DC" w:rsidRDefault="0098138C" w:rsidP="00142EB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Z </w:t>
            </w:r>
            <w:proofErr w:type="spellStart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machorastov</w:t>
            </w:r>
            <w:proofErr w:type="spellEnd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Pleurozium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schreberi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Polytrichum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commune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Sphagnum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capillifolium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S.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centrale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, S. 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girgensohnii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, S. 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palustre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, S. 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squarrosum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Sphagnum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fallax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, S. 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fuscum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, S. 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magellanicum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</w:tr>
      <w:tr w:rsidR="0098138C" w:rsidRPr="002D10DC" w14:paraId="5F15275D" w14:textId="77777777" w:rsidTr="00142EB6">
        <w:trPr>
          <w:trHeight w:val="114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2F561" w14:textId="77777777" w:rsidR="0098138C" w:rsidRPr="002D10DC" w:rsidRDefault="0098138C" w:rsidP="0014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 xml:space="preserve">Zastúpenie </w:t>
            </w:r>
            <w:proofErr w:type="spellStart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1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C3D6B" w14:textId="77777777" w:rsidR="0098138C" w:rsidRPr="002D10DC" w:rsidRDefault="0098138C" w:rsidP="0014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3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ECE7AC" w14:textId="77777777" w:rsidR="0098138C" w:rsidRPr="002D10DC" w:rsidRDefault="0098138C" w:rsidP="0014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8074FE" w14:textId="77777777" w:rsidR="0098138C" w:rsidRPr="00B8256E" w:rsidRDefault="0098138C" w:rsidP="00142EB6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Bez výskytu nepôvodných druhov – v súčasnosti výskyt 1 druhu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Fallopia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japonica</w:t>
            </w:r>
            <w:proofErr w:type="spellEnd"/>
          </w:p>
        </w:tc>
      </w:tr>
      <w:tr w:rsidR="0098138C" w:rsidRPr="002D10DC" w14:paraId="69D7086B" w14:textId="77777777" w:rsidTr="00142EB6">
        <w:trPr>
          <w:trHeight w:val="114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3F4A0" w14:textId="77777777" w:rsidR="0098138C" w:rsidRPr="002D10DC" w:rsidRDefault="0098138C" w:rsidP="0014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Odumreté drevo (stojace, ležiace kmene stromov hlavnej úrovne)</w:t>
            </w:r>
          </w:p>
        </w:tc>
        <w:tc>
          <w:tcPr>
            <w:tcW w:w="11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C6FCC" w14:textId="77777777" w:rsidR="0098138C" w:rsidRPr="002D10DC" w:rsidRDefault="0098138C" w:rsidP="0014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2D10D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3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F9BE7F" w14:textId="77777777" w:rsidR="0098138C" w:rsidRPr="002D10DC" w:rsidRDefault="0098138C" w:rsidP="00142E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20</w:t>
            </w:r>
          </w:p>
          <w:p w14:paraId="7D0E02B9" w14:textId="77777777" w:rsidR="0098138C" w:rsidRPr="002D10DC" w:rsidRDefault="0098138C" w:rsidP="00142E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D8B6553" w14:textId="77777777" w:rsidR="0098138C" w:rsidRPr="002D10DC" w:rsidRDefault="0098138C" w:rsidP="00142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</w:p>
        </w:tc>
        <w:tc>
          <w:tcPr>
            <w:tcW w:w="52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BAED35" w14:textId="77777777" w:rsidR="0098138C" w:rsidRPr="001268C3" w:rsidRDefault="0098138C" w:rsidP="00142E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Prítomnosť odumretého dreva na ploche biotopu v danom objeme.</w:t>
            </w:r>
          </w:p>
          <w:p w14:paraId="292ACBBE" w14:textId="77777777" w:rsidR="0098138C" w:rsidRPr="002D10DC" w:rsidRDefault="0098138C" w:rsidP="00142E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9893EA9" w14:textId="77777777" w:rsidR="005B7E96" w:rsidRDefault="005B7E96" w:rsidP="00C849FA">
      <w:pPr>
        <w:pStyle w:val="Zkladntext"/>
        <w:widowControl w:val="0"/>
        <w:spacing w:after="120"/>
        <w:ind w:left="-284"/>
        <w:jc w:val="both"/>
        <w:rPr>
          <w:b w:val="0"/>
          <w:color w:val="000000"/>
        </w:rPr>
      </w:pPr>
      <w:bookmarkStart w:id="0" w:name="_Hlk144332695"/>
    </w:p>
    <w:p w14:paraId="13FC18D3" w14:textId="3C8305FB" w:rsidR="00AA06A1" w:rsidRDefault="00AA06A1" w:rsidP="00C849FA">
      <w:pPr>
        <w:pStyle w:val="Zkladntext"/>
        <w:widowControl w:val="0"/>
        <w:spacing w:after="120"/>
        <w:ind w:left="-284"/>
        <w:jc w:val="both"/>
        <w:rPr>
          <w:b w:val="0"/>
          <w:color w:val="000000"/>
          <w:shd w:val="clear" w:color="auto" w:fill="FFFFFF"/>
        </w:rPr>
      </w:pPr>
      <w:r w:rsidRPr="00775056">
        <w:rPr>
          <w:b w:val="0"/>
          <w:color w:val="000000"/>
        </w:rPr>
        <w:t xml:space="preserve">Zabezpečiť zlepšenie stavu </w:t>
      </w:r>
      <w:r>
        <w:rPr>
          <w:color w:val="000000"/>
        </w:rPr>
        <w:t xml:space="preserve">biotopu </w:t>
      </w:r>
      <w:proofErr w:type="spellStart"/>
      <w:r w:rsidR="005B7E96">
        <w:t>Ls</w:t>
      </w:r>
      <w:proofErr w:type="spellEnd"/>
      <w:r w:rsidR="005B7E96">
        <w:t xml:space="preserve"> 1.1 (* 91E0) Vŕbovo-topoľové nížinné lužné lesy, </w:t>
      </w:r>
      <w:proofErr w:type="spellStart"/>
      <w:r w:rsidR="005B7E96">
        <w:t>Ls</w:t>
      </w:r>
      <w:proofErr w:type="spellEnd"/>
      <w:r w:rsidR="005B7E96">
        <w:t xml:space="preserve"> 1.3 (* 91E0) Jaseňovo-jelšové podhorské lužné lesy, </w:t>
      </w:r>
      <w:proofErr w:type="spellStart"/>
      <w:r w:rsidR="005B7E96">
        <w:t>Ls</w:t>
      </w:r>
      <w:proofErr w:type="spellEnd"/>
      <w:r w:rsidR="005B7E96">
        <w:t xml:space="preserve"> 1.4 (* 91E0) Horské jelšové lužné lesy,</w:t>
      </w:r>
      <w:r w:rsidRPr="00775056">
        <w:rPr>
          <w:b w:val="0"/>
          <w:color w:val="000000"/>
        </w:rPr>
        <w:t xml:space="preserve"> za splnenia nasledovných atribútov</w:t>
      </w:r>
      <w:r w:rsidRPr="00775056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8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4"/>
        <w:gridCol w:w="1276"/>
        <w:gridCol w:w="1134"/>
        <w:gridCol w:w="5128"/>
      </w:tblGrid>
      <w:tr w:rsidR="00AA06A1" w:rsidRPr="0000010E" w14:paraId="0F90F294" w14:textId="77777777" w:rsidTr="00C849FA">
        <w:trPr>
          <w:jc w:val="center"/>
        </w:trPr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10196" w14:textId="77777777" w:rsidR="00AA06A1" w:rsidRPr="00775056" w:rsidRDefault="00AA06A1" w:rsidP="00AF4D7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6B467" w14:textId="77777777" w:rsidR="00AA06A1" w:rsidRPr="00775056" w:rsidRDefault="00AA06A1" w:rsidP="00AF4D7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3B63F" w14:textId="77777777" w:rsidR="00AA06A1" w:rsidRPr="00775056" w:rsidRDefault="00AA06A1" w:rsidP="00AF4D7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37F22" w14:textId="77777777" w:rsidR="00AA06A1" w:rsidRPr="00775056" w:rsidRDefault="00AA06A1" w:rsidP="00AF4D7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AA06A1" w:rsidRPr="0000010E" w14:paraId="7684DEB6" w14:textId="77777777" w:rsidTr="00C849FA">
        <w:trPr>
          <w:trHeight w:val="270"/>
          <w:jc w:val="center"/>
        </w:trPr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6C639" w14:textId="77777777" w:rsidR="00AA06A1" w:rsidRPr="00775056" w:rsidRDefault="00AA06A1" w:rsidP="00AF4D7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F5ADC" w14:textId="77777777" w:rsidR="00AA06A1" w:rsidRPr="00775056" w:rsidRDefault="00AA06A1" w:rsidP="00AF4D7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DA82D" w14:textId="469DE465" w:rsidR="00AA06A1" w:rsidRPr="00775056" w:rsidRDefault="005B7E96" w:rsidP="00AA06A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F924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8,22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9A2BC" w14:textId="151A1906" w:rsidR="00AA06A1" w:rsidRPr="00775056" w:rsidRDefault="00AA06A1" w:rsidP="00AF4D7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 udržanie existujúcej výmery biotopu v</w:t>
            </w:r>
            <w:r w:rsidR="001479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ÚEV</w:t>
            </w:r>
            <w:r w:rsidR="001479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(Ls1.1. – </w:t>
            </w:r>
            <w:r w:rsidR="00F924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B7E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F924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6,44 </w:t>
            </w:r>
            <w:r w:rsidR="001479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ha, Ls1.3 – 2,19 ha, Ls1.4 – 9,59 ha)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5B7E96" w:rsidRPr="0000010E" w14:paraId="6F2EF018" w14:textId="77777777" w:rsidTr="00C849FA">
        <w:trPr>
          <w:trHeight w:val="179"/>
          <w:jc w:val="center"/>
        </w:trPr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60D2D8" w14:textId="77777777" w:rsidR="005B7E96" w:rsidRPr="00775056" w:rsidRDefault="005B7E96" w:rsidP="005B7E9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858382" w14:textId="77777777" w:rsidR="005B7E96" w:rsidRPr="00775056" w:rsidRDefault="005B7E96" w:rsidP="005B7E9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12E04E" w14:textId="77777777" w:rsidR="005B7E96" w:rsidRPr="00775056" w:rsidRDefault="005B7E96" w:rsidP="005B7E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80 %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CA98A9" w14:textId="77777777" w:rsidR="005B7E96" w:rsidRPr="005A6164" w:rsidRDefault="005B7E96" w:rsidP="005B7E9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5A6164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Ls1.1 Vŕbovo-topoľové nížinné lužné lesy</w:t>
            </w:r>
          </w:p>
          <w:p w14:paraId="094F4C83" w14:textId="77777777" w:rsidR="005B7E96" w:rsidRPr="00513CA9" w:rsidRDefault="005B7E96" w:rsidP="005B7E96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5A61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Charakteristická druhová skladba:</w:t>
            </w:r>
          </w:p>
          <w:p w14:paraId="4236EB25" w14:textId="77777777" w:rsidR="005B7E96" w:rsidRDefault="005B7E96" w:rsidP="005B7E9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Alnus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glutinosa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&lt;30%, A.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incana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&lt;5%,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Fraxinus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angustifolia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Padus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racemosa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Populus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alba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Populus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x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canescens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P.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nigra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Salix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alba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S.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caprea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S.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fragilis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S. </w:t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sym w:font="Symbol" w:char="F0B4"/>
            </w:r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rubens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S.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triandra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laevis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U.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minor</w:t>
            </w:r>
            <w:proofErr w:type="spellEnd"/>
          </w:p>
          <w:p w14:paraId="4FE7D510" w14:textId="77777777" w:rsidR="005B7E96" w:rsidRPr="00147928" w:rsidRDefault="005B7E96" w:rsidP="005B7E9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147928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Ls1.3 </w:t>
            </w:r>
            <w:proofErr w:type="spellStart"/>
            <w:r w:rsidRPr="00147928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Jeseňovo</w:t>
            </w:r>
            <w:proofErr w:type="spellEnd"/>
            <w:r w:rsidRPr="00147928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jelšové podhorské lužné lesy</w:t>
            </w:r>
          </w:p>
          <w:p w14:paraId="0BE5B2DD" w14:textId="77777777" w:rsidR="005B7E96" w:rsidRPr="00AE6C2D" w:rsidRDefault="005B7E96" w:rsidP="005B7E9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060B78EB" w14:textId="77777777" w:rsidR="005B7E96" w:rsidRDefault="005B7E96" w:rsidP="005B7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Acer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platanoides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A.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pseudoplatanus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C60C78">
              <w:rPr>
                <w:rFonts w:ascii="Times New Roman" w:hAnsi="Times New Roman" w:cs="Times New Roman"/>
                <w:i/>
                <w:sz w:val="18"/>
                <w:szCs w:val="18"/>
              </w:rPr>
              <w:t>Alnus</w:t>
            </w:r>
            <w:proofErr w:type="spellEnd"/>
            <w:r w:rsidRPr="00C60C7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0C78">
              <w:rPr>
                <w:rFonts w:ascii="Times New Roman" w:hAnsi="Times New Roman" w:cs="Times New Roman"/>
                <w:i/>
                <w:sz w:val="18"/>
                <w:szCs w:val="18"/>
              </w:rPr>
              <w:t>glutinosa</w:t>
            </w:r>
            <w:proofErr w:type="spellEnd"/>
            <w:r w:rsidRPr="00C60C7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A. </w:t>
            </w:r>
            <w:proofErr w:type="spellStart"/>
            <w:r w:rsidRPr="00C60C78">
              <w:rPr>
                <w:rFonts w:ascii="Times New Roman" w:hAnsi="Times New Roman" w:cs="Times New Roman"/>
                <w:i/>
                <w:sz w:val="18"/>
                <w:szCs w:val="18"/>
              </w:rPr>
              <w:t>incana</w:t>
            </w:r>
            <w:proofErr w:type="spellEnd"/>
            <w:r w:rsidRPr="00C60C78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Carpinus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betulus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AE6C2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Fraxinus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excelsior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Padus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avium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Picea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&lt;5%,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Populus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alba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Populus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x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canescens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P.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nigra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AE6C2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Salix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alba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S.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caprea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, S.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fragilis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Sorbus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aucuparia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Tilia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cordata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&lt;5%,,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U.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laevis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U.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minor</w:t>
            </w:r>
            <w:proofErr w:type="spellEnd"/>
          </w:p>
          <w:p w14:paraId="012A7E6E" w14:textId="77777777" w:rsidR="005B7E96" w:rsidRDefault="005B7E96" w:rsidP="005B7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  <w:u w:val="single"/>
              </w:rPr>
            </w:pPr>
            <w:r w:rsidRPr="008751ED">
              <w:rPr>
                <w:rFonts w:ascii="Times New Roman" w:hAnsi="Times New Roman" w:cs="Times New Roman"/>
                <w:iCs/>
                <w:sz w:val="18"/>
                <w:szCs w:val="18"/>
                <w:u w:val="single"/>
              </w:rPr>
              <w:t>Ls1.4 Horské jelšové lužné lesy</w:t>
            </w:r>
          </w:p>
          <w:p w14:paraId="5640F822" w14:textId="77777777" w:rsidR="005B7E96" w:rsidRPr="008751ED" w:rsidRDefault="005B7E96" w:rsidP="005B7E96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alba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&lt;5 %, Acer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pseudopl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atanus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Alnus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glutinosa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A.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incana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*,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Fraxinus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excelsior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Padus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avium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Picea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&lt;40%,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Salix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fragilis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S.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purpurea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Sorbus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aucuparia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14:paraId="09788264" w14:textId="157C16B5" w:rsidR="005B7E96" w:rsidRPr="00147928" w:rsidRDefault="005B7E96" w:rsidP="005B7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  <w:u w:val="single"/>
              </w:rPr>
            </w:pPr>
            <w:r w:rsidRPr="008751ED">
              <w:rPr>
                <w:rFonts w:ascii="Times New Roman" w:hAnsi="Times New Roman" w:cs="Times New Roman"/>
                <w:sz w:val="18"/>
                <w:szCs w:val="18"/>
              </w:rPr>
              <w:t>*(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Alnus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incana</w:t>
            </w:r>
            <w:proofErr w:type="spellEnd"/>
            <w:r w:rsidRPr="008751ED">
              <w:rPr>
                <w:rFonts w:ascii="Times New Roman" w:hAnsi="Times New Roman" w:cs="Times New Roman"/>
                <w:sz w:val="18"/>
                <w:szCs w:val="18"/>
              </w:rPr>
              <w:t xml:space="preserve"> minimálne 30%)</w:t>
            </w:r>
          </w:p>
        </w:tc>
      </w:tr>
      <w:tr w:rsidR="00AA06A1" w:rsidRPr="0000010E" w14:paraId="38C24947" w14:textId="77777777" w:rsidTr="00C849FA">
        <w:trPr>
          <w:trHeight w:val="173"/>
          <w:jc w:val="center"/>
        </w:trPr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BDCAA4" w14:textId="77777777" w:rsidR="00AA06A1" w:rsidRPr="00775056" w:rsidRDefault="00AA06A1" w:rsidP="00AF4D7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Zastúpenie charakteristických druhov </w:t>
            </w:r>
            <w:proofErr w:type="spellStart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synúzie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podrastu (bylín, krov, </w:t>
            </w:r>
            <w:proofErr w:type="spellStart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machorastov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13F494" w14:textId="77777777" w:rsidR="00AA06A1" w:rsidRPr="00775056" w:rsidRDefault="00AA06A1" w:rsidP="00AF4D7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9ACD7A" w14:textId="77777777" w:rsidR="00AA06A1" w:rsidRPr="00775056" w:rsidRDefault="00AA06A1" w:rsidP="00AF4D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1F0C2D" w14:textId="77777777" w:rsidR="005B7E96" w:rsidRDefault="005B7E96" w:rsidP="005B7E9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5A6164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Ls1.1 Vŕbovo-topoľové nížinné lužné lesy</w:t>
            </w:r>
          </w:p>
          <w:p w14:paraId="6F22D769" w14:textId="77777777" w:rsidR="005B7E96" w:rsidRPr="0000010E" w:rsidRDefault="005B7E96" w:rsidP="005B7E9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Charakteristická druhová skladba:</w:t>
            </w:r>
          </w:p>
          <w:p w14:paraId="26AED8C6" w14:textId="77777777" w:rsidR="005B7E96" w:rsidRDefault="005B7E96" w:rsidP="005B7E9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Caltha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palustris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riparia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Galium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palustre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Humulus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lupulus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Iris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pseudacorus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Leucojum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aestivum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Lycopus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europaeus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Lysimachia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nummularia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L.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vulgaris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Lythrum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salicaria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Mentha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longifolia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Myosotis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scopioides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Persicaria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hydropiper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Phalaroides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arundinacea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Rubus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caesius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Symphytum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bohemucum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S.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officinale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Stachys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palustris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Urtica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dioica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Vitis</w:t>
            </w:r>
            <w:proofErr w:type="spellEnd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13CA9">
              <w:rPr>
                <w:rFonts w:ascii="Times New Roman" w:hAnsi="Times New Roman" w:cs="Times New Roman"/>
                <w:i/>
                <w:sz w:val="18"/>
                <w:szCs w:val="18"/>
              </w:rPr>
              <w:t>sylvestris</w:t>
            </w:r>
            <w:proofErr w:type="spellEnd"/>
          </w:p>
          <w:p w14:paraId="1CBEE0B3" w14:textId="77777777" w:rsidR="005B7E96" w:rsidRPr="00147928" w:rsidRDefault="005B7E96" w:rsidP="005B7E9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147928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Ls1.3 </w:t>
            </w:r>
            <w:proofErr w:type="spellStart"/>
            <w:r w:rsidRPr="00147928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Jeseňovo</w:t>
            </w:r>
            <w:proofErr w:type="spellEnd"/>
            <w:r w:rsidRPr="00147928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jelšové podhorské lužné lesy</w:t>
            </w:r>
          </w:p>
          <w:p w14:paraId="61BEF26A" w14:textId="77777777" w:rsidR="005B7E96" w:rsidRPr="00775056" w:rsidRDefault="005B7E96" w:rsidP="005B7E9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7566BFF8" w14:textId="77777777" w:rsidR="005B7E96" w:rsidRDefault="005B7E96" w:rsidP="005B7E9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Aegopodium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podagraria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Astrantia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major,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Caltha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palustris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Cardamine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amara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remota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Chaerophylum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hirsutum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Chrysosplenium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alternifolium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Circaea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intermedia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Cirsium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oleraceum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Crepis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paludosa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Equisetum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sylvaticum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Ficaria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bulbifera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Filipendula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ulmaria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Geum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rivale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Glechoma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hederacea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Lamium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maculatum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Lysimachia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nemorum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Myosotis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scorpioides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., Primula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elatior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Rubus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sp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Stachys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sylvatica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Stellaria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nemorum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Urtica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dioica</w:t>
            </w:r>
            <w:proofErr w:type="spellEnd"/>
          </w:p>
          <w:p w14:paraId="01DF89C7" w14:textId="77777777" w:rsidR="005B7E96" w:rsidRDefault="005B7E96" w:rsidP="005B7E9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  <w:u w:val="single"/>
              </w:rPr>
            </w:pPr>
            <w:r w:rsidRPr="008751ED">
              <w:rPr>
                <w:rFonts w:ascii="Times New Roman" w:hAnsi="Times New Roman" w:cs="Times New Roman"/>
                <w:iCs/>
                <w:sz w:val="18"/>
                <w:szCs w:val="18"/>
                <w:u w:val="single"/>
              </w:rPr>
              <w:t>Ls1.4 Horské jelšové lužné lesy</w:t>
            </w:r>
          </w:p>
          <w:p w14:paraId="2DEEAF27" w14:textId="77B5545B" w:rsidR="00147928" w:rsidRPr="00AE6C2D" w:rsidRDefault="005B7E96" w:rsidP="005B7E9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Aconitum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firmum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Aegopodium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podagraria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8751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Anthriscus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nitidus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Astrantia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major,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Caltha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palustris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subsp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laeta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Calamagrostis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villosa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Cardamine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amara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Chaerophyllum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hirsutum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Chrysosplenium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alternifolium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Cicerbita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alpina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Cirsium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oleraceum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Crepis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paludosa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Doronicum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austriacum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Equisetum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sylvaticum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Filipendula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ulmaria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Geranium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phaeum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Knautia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maxima,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Leucanthemum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waldsteinii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endemit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),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Ligularia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sibirica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anexový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druh),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Lysimachia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nemorum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Matteuccia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struthiopteris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Petasites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albus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P.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hybridus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Primula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elatior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Silene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dioica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Stellaria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nemorum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Thalictrum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aquilegiifolium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>Veratrum</w:t>
            </w:r>
            <w:proofErr w:type="spellEnd"/>
            <w:r w:rsidRPr="008751E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album</w:t>
            </w:r>
          </w:p>
        </w:tc>
      </w:tr>
      <w:tr w:rsidR="00AA06A1" w:rsidRPr="0000010E" w14:paraId="1C043587" w14:textId="77777777" w:rsidTr="00C849FA">
        <w:trPr>
          <w:trHeight w:val="114"/>
          <w:jc w:val="center"/>
        </w:trPr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820808" w14:textId="77777777" w:rsidR="00AA06A1" w:rsidRPr="00775056" w:rsidRDefault="00AA06A1" w:rsidP="00AF4D7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druhov/inváznych druhov drevín a bylín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7AC936" w14:textId="77777777" w:rsidR="00AA06A1" w:rsidRPr="00775056" w:rsidRDefault="00AA06A1" w:rsidP="00AF4D7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860032" w14:textId="77777777" w:rsidR="00AA06A1" w:rsidRPr="00775056" w:rsidRDefault="00AA06A1" w:rsidP="00AF4D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menej ako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C2675C" w14:textId="77777777" w:rsidR="00AA06A1" w:rsidRPr="00775056" w:rsidRDefault="00AA06A1" w:rsidP="00AF4D7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</w:t>
            </w:r>
            <w:proofErr w:type="spellStart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/inváznych druhov drevín v biotope (</w:t>
            </w:r>
            <w:proofErr w:type="spellStart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</w:t>
            </w:r>
            <w:proofErr w:type="spellEnd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aceroides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Robinia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pseudoacacia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bylín (</w:t>
            </w:r>
            <w:proofErr w:type="spellStart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Fallopia</w:t>
            </w:r>
            <w:proofErr w:type="spellEnd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sp</w:t>
            </w:r>
            <w:proofErr w:type="spellEnd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Impatiens</w:t>
            </w:r>
            <w:proofErr w:type="spellEnd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glandulifera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I.parviflora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Heracleum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mantegazzianum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AA06A1" w:rsidRPr="0000010E" w14:paraId="455BC536" w14:textId="77777777" w:rsidTr="00C849FA">
        <w:trPr>
          <w:trHeight w:val="114"/>
          <w:jc w:val="center"/>
        </w:trPr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862E51" w14:textId="77777777" w:rsidR="00AA06A1" w:rsidRPr="00775056" w:rsidRDefault="00AA06A1" w:rsidP="00AF4D7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Mŕtve drevo </w:t>
            </w:r>
          </w:p>
          <w:p w14:paraId="7EABD50E" w14:textId="77777777" w:rsidR="00AA06A1" w:rsidRPr="00775056" w:rsidRDefault="00AA06A1" w:rsidP="00AF4D7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(stojace, ležiace kmene stromov hlavnej úrovne s limitnou hrúbkou d1,3 najmenej 30 cm, pre </w:t>
            </w:r>
            <w:proofErr w:type="spellStart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Ls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1.1 d1,3 najmenej 50 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196F0D" w14:textId="77777777" w:rsidR="00AA06A1" w:rsidRPr="00775056" w:rsidRDefault="00AA06A1" w:rsidP="00AF4D7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C60E07" w14:textId="77777777" w:rsidR="00AA06A1" w:rsidRPr="00775056" w:rsidRDefault="00AA06A1" w:rsidP="00AF4D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20</w:t>
            </w:r>
          </w:p>
          <w:p w14:paraId="3415073F" w14:textId="77777777" w:rsidR="00AA06A1" w:rsidRPr="00775056" w:rsidRDefault="00AA06A1" w:rsidP="00AF4D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5C3DA86" w14:textId="77777777" w:rsidR="00AA06A1" w:rsidRPr="00775056" w:rsidRDefault="00AA06A1" w:rsidP="00AF4D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A309F7" w14:textId="77777777" w:rsidR="00AA06A1" w:rsidRPr="00775056" w:rsidRDefault="00AA06A1" w:rsidP="00AF4D7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prítomnosti odumretého dreva na ploche biotopu v danom objeme.</w:t>
            </w:r>
          </w:p>
          <w:p w14:paraId="3AC226EA" w14:textId="77777777" w:rsidR="00AA06A1" w:rsidRPr="00775056" w:rsidRDefault="00AA06A1" w:rsidP="00AF4D7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A06A1" w:rsidRPr="0000010E" w14:paraId="31F9653F" w14:textId="77777777" w:rsidTr="00C849FA">
        <w:trPr>
          <w:trHeight w:val="114"/>
          <w:jc w:val="center"/>
        </w:trPr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9792A" w14:textId="77777777" w:rsidR="00AA06A1" w:rsidRPr="00775056" w:rsidRDefault="00AA06A1" w:rsidP="00AF4D7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7A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Zachovalá prirodzená dynamika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9A2436" w14:textId="77777777" w:rsidR="00AA06A1" w:rsidRPr="00775056" w:rsidRDefault="00AA06A1" w:rsidP="00AF4D7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7A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Výskyt prirodzených úsekov tokov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6C1173" w14:textId="77777777" w:rsidR="00AA06A1" w:rsidRPr="00775056" w:rsidRDefault="00AA06A1" w:rsidP="00AF4D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7A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celom toku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UEV a v jeho bezprostrednom okolí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E6167C" w14:textId="5FB912E2" w:rsidR="00AA06A1" w:rsidRPr="00775056" w:rsidRDefault="00AA06A1" w:rsidP="00AF4D7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7A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Tok bez prekážok spôsobujúcich spomalenie vodného toku, odklonenie toku, hrádze, zníženie </w:t>
            </w:r>
            <w:proofErr w:type="spellStart"/>
            <w:r w:rsidRPr="009B7A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prietočnosti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</w:tbl>
    <w:p w14:paraId="7FA4EAF5" w14:textId="77777777" w:rsidR="00525E45" w:rsidRDefault="00525E45" w:rsidP="00525E45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14:paraId="7F830109" w14:textId="77777777" w:rsidR="0098138C" w:rsidRPr="00D33C1D" w:rsidRDefault="0098138C" w:rsidP="0098138C">
      <w:pPr>
        <w:spacing w:line="240" w:lineRule="auto"/>
        <w:ind w:left="-142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Zachovanie </w:t>
      </w:r>
      <w:r w:rsidRPr="00D33C1D">
        <w:rPr>
          <w:rFonts w:ascii="Times New Roman" w:hAnsi="Times New Roman" w:cs="Times New Roman"/>
          <w:color w:val="000000"/>
          <w:sz w:val="24"/>
          <w:szCs w:val="24"/>
        </w:rPr>
        <w:t xml:space="preserve">stavu biotopu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Vo2 (3</w:t>
      </w:r>
      <w:r w:rsidRPr="00D33C1D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D33C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Prirodzené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eutrofné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mezotrofné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stojaté vody s vegetáciou plávajúcich a/alebo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ponerených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cievnatých rastlín typu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Magnopotamion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alebo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Hydrocharition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 splnenia nasledovných atribútov:</w:t>
      </w:r>
    </w:p>
    <w:tbl>
      <w:tblPr>
        <w:tblW w:w="5082" w:type="pct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323"/>
        <w:gridCol w:w="1584"/>
        <w:gridCol w:w="4747"/>
      </w:tblGrid>
      <w:tr w:rsidR="0098138C" w:rsidRPr="00B47CC0" w14:paraId="158CB31C" w14:textId="77777777" w:rsidTr="00142EB6">
        <w:trPr>
          <w:trHeight w:val="2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3F57" w14:textId="77777777" w:rsidR="0098138C" w:rsidRPr="00B47CC0" w:rsidRDefault="0098138C" w:rsidP="00142E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47C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D6C33A" w14:textId="77777777" w:rsidR="0098138C" w:rsidRPr="00B47CC0" w:rsidRDefault="0098138C" w:rsidP="00142E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47C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0C3AA6" w14:textId="77777777" w:rsidR="0098138C" w:rsidRPr="00B47CC0" w:rsidRDefault="0098138C" w:rsidP="00142E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47C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32BD15" w14:textId="77777777" w:rsidR="0098138C" w:rsidRPr="00B47CC0" w:rsidRDefault="0098138C" w:rsidP="00142E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47C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98138C" w:rsidRPr="00B47CC0" w14:paraId="3E9528E3" w14:textId="77777777" w:rsidTr="00142EB6">
        <w:trPr>
          <w:trHeight w:val="2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002E7" w14:textId="77777777" w:rsidR="0098138C" w:rsidRPr="00B47CC0" w:rsidRDefault="0098138C" w:rsidP="00142E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47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Výmera biotopu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3C2791" w14:textId="77777777" w:rsidR="0098138C" w:rsidRPr="00B47CC0" w:rsidRDefault="0098138C" w:rsidP="00142E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47CC0">
              <w:rPr>
                <w:rFonts w:ascii="Times New Roman" w:hAnsi="Times New Roman" w:cs="Times New Roman"/>
                <w:sz w:val="20"/>
                <w:szCs w:val="20"/>
              </w:rPr>
              <w:t xml:space="preserve">ha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6C2BC" w14:textId="77777777" w:rsidR="0098138C" w:rsidRPr="00B47CC0" w:rsidRDefault="0098138C" w:rsidP="00142E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47CC0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299711" w14:textId="3E802750" w:rsidR="0098138C" w:rsidRPr="00B47CC0" w:rsidRDefault="0098138C" w:rsidP="009813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47CC0">
              <w:rPr>
                <w:rFonts w:ascii="Times New Roman" w:hAnsi="Times New Roman" w:cs="Times New Roman"/>
                <w:sz w:val="20"/>
                <w:szCs w:val="20"/>
              </w:rPr>
              <w:t xml:space="preserve">Udržať výmeru biotopu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  <w:r w:rsidRPr="00B47CC0">
              <w:rPr>
                <w:rFonts w:ascii="Times New Roman" w:hAnsi="Times New Roman" w:cs="Times New Roman"/>
                <w:sz w:val="20"/>
                <w:szCs w:val="20"/>
              </w:rPr>
              <w:t xml:space="preserve"> ha vodných plôch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(priemer za 5 rokov nakoľko jeho výmera medziročne kolíše od 0 do cca 34 ha nakoľko ide o umelú vodnú nádrž. V roku 2022 mapované na cca 0 ha (mimoriadne nízka hladina vody v VN),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roku 2023 na 25 ha.</w:t>
            </w:r>
          </w:p>
        </w:tc>
      </w:tr>
      <w:tr w:rsidR="0098138C" w:rsidRPr="00B47CC0" w14:paraId="7BA657B9" w14:textId="77777777" w:rsidTr="00142EB6">
        <w:trPr>
          <w:trHeight w:val="59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E71C4" w14:textId="77777777" w:rsidR="0098138C" w:rsidRPr="00B47CC0" w:rsidRDefault="0098138C" w:rsidP="00142E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47CC0">
              <w:rPr>
                <w:rFonts w:ascii="Times New Roman" w:hAnsi="Times New Roman" w:cs="Times New Roman"/>
                <w:sz w:val="20"/>
                <w:szCs w:val="20"/>
              </w:rPr>
              <w:t>Zastúpenie charakteristických druhov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F5C39" w14:textId="77777777" w:rsidR="0098138C" w:rsidRPr="00B47CC0" w:rsidRDefault="0098138C" w:rsidP="00142E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47CC0">
              <w:rPr>
                <w:rFonts w:ascii="Times New Roman" w:hAnsi="Times New Roman" w:cs="Times New Roman"/>
                <w:sz w:val="20"/>
                <w:szCs w:val="20"/>
              </w:rPr>
              <w:t>počet druhov/25 m</w:t>
            </w:r>
            <w:r w:rsidRPr="00B47C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1BF76" w14:textId="77777777" w:rsidR="0098138C" w:rsidRPr="00B47CC0" w:rsidRDefault="0098138C" w:rsidP="00142E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47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najmenej 3 druhy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8AFA04" w14:textId="77777777" w:rsidR="0098138C" w:rsidRPr="00B47CC0" w:rsidRDefault="0098138C" w:rsidP="00142E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47CC0">
              <w:rPr>
                <w:rFonts w:ascii="Times New Roman" w:hAnsi="Times New Roman" w:cs="Times New Roman"/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00B47CC0">
              <w:rPr>
                <w:rFonts w:ascii="Times New Roman" w:hAnsi="Times New Roman" w:cs="Times New Roman"/>
                <w:i/>
                <w:sz w:val="20"/>
                <w:szCs w:val="20"/>
              </w:rPr>
              <w:t>Batrachium</w:t>
            </w:r>
            <w:proofErr w:type="spellEnd"/>
            <w:r w:rsidRPr="00B47C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47CC0">
              <w:rPr>
                <w:rFonts w:ascii="Times New Roman" w:hAnsi="Times New Roman" w:cs="Times New Roman"/>
                <w:i/>
                <w:sz w:val="20"/>
                <w:szCs w:val="20"/>
              </w:rPr>
              <w:t>aquatile</w:t>
            </w:r>
            <w:proofErr w:type="spellEnd"/>
            <w:r w:rsidRPr="00B47C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47CC0">
              <w:rPr>
                <w:rFonts w:ascii="Times New Roman" w:hAnsi="Times New Roman" w:cs="Times New Roman"/>
                <w:i/>
                <w:sz w:val="20"/>
                <w:szCs w:val="20"/>
              </w:rPr>
              <w:t>Ceratophyllum</w:t>
            </w:r>
            <w:proofErr w:type="spellEnd"/>
            <w:r w:rsidRPr="00B47C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47CC0">
              <w:rPr>
                <w:rFonts w:ascii="Times New Roman" w:hAnsi="Times New Roman" w:cs="Times New Roman"/>
                <w:i/>
                <w:sz w:val="20"/>
                <w:szCs w:val="20"/>
              </w:rPr>
              <w:t>demersum</w:t>
            </w:r>
            <w:proofErr w:type="spellEnd"/>
            <w:r w:rsidRPr="00B47C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47CC0">
              <w:rPr>
                <w:rFonts w:ascii="Times New Roman" w:hAnsi="Times New Roman" w:cs="Times New Roman"/>
                <w:i/>
                <w:sz w:val="20"/>
                <w:szCs w:val="20"/>
              </w:rPr>
              <w:t>Ceratophyllum</w:t>
            </w:r>
            <w:proofErr w:type="spellEnd"/>
            <w:r w:rsidRPr="00B47C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47CC0">
              <w:rPr>
                <w:rFonts w:ascii="Times New Roman" w:hAnsi="Times New Roman" w:cs="Times New Roman"/>
                <w:i/>
                <w:sz w:val="20"/>
                <w:szCs w:val="20"/>
              </w:rPr>
              <w:t>submersum</w:t>
            </w:r>
            <w:proofErr w:type="spellEnd"/>
            <w:r w:rsidRPr="00B47C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47CC0">
              <w:rPr>
                <w:rFonts w:ascii="Times New Roman" w:hAnsi="Times New Roman" w:cs="Times New Roman"/>
                <w:i/>
                <w:sz w:val="20"/>
                <w:szCs w:val="20"/>
              </w:rPr>
              <w:t>Lemna</w:t>
            </w:r>
            <w:proofErr w:type="spellEnd"/>
            <w:r w:rsidRPr="00B47C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47CC0">
              <w:rPr>
                <w:rFonts w:ascii="Times New Roman" w:hAnsi="Times New Roman" w:cs="Times New Roman"/>
                <w:i/>
                <w:sz w:val="20"/>
                <w:szCs w:val="20"/>
              </w:rPr>
              <w:t>minor</w:t>
            </w:r>
            <w:proofErr w:type="spellEnd"/>
            <w:r w:rsidRPr="00B47C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47CC0">
              <w:rPr>
                <w:rFonts w:ascii="Times New Roman" w:hAnsi="Times New Roman" w:cs="Times New Roman"/>
                <w:i/>
                <w:sz w:val="20"/>
                <w:szCs w:val="20"/>
              </w:rPr>
              <w:t>Myriophyllum</w:t>
            </w:r>
            <w:proofErr w:type="spellEnd"/>
            <w:r w:rsidRPr="00B47C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47CC0">
              <w:rPr>
                <w:rFonts w:ascii="Times New Roman" w:hAnsi="Times New Roman" w:cs="Times New Roman"/>
                <w:i/>
                <w:sz w:val="20"/>
                <w:szCs w:val="20"/>
              </w:rPr>
              <w:t>spicatum</w:t>
            </w:r>
            <w:proofErr w:type="spellEnd"/>
            <w:r w:rsidRPr="00B47C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M. </w:t>
            </w:r>
            <w:proofErr w:type="spellStart"/>
            <w:r w:rsidRPr="00B47CC0">
              <w:rPr>
                <w:rFonts w:ascii="Times New Roman" w:hAnsi="Times New Roman" w:cs="Times New Roman"/>
                <w:i/>
                <w:sz w:val="20"/>
                <w:szCs w:val="20"/>
              </w:rPr>
              <w:t>verticillatum</w:t>
            </w:r>
            <w:proofErr w:type="spellEnd"/>
            <w:r w:rsidRPr="00B47C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47CC0">
              <w:rPr>
                <w:rFonts w:ascii="Times New Roman" w:hAnsi="Times New Roman" w:cs="Times New Roman"/>
                <w:i/>
                <w:sz w:val="20"/>
                <w:szCs w:val="20"/>
              </w:rPr>
              <w:t>Najas</w:t>
            </w:r>
            <w:proofErr w:type="spellEnd"/>
            <w:r w:rsidRPr="00B47C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47CC0">
              <w:rPr>
                <w:rFonts w:ascii="Times New Roman" w:hAnsi="Times New Roman" w:cs="Times New Roman"/>
                <w:i/>
                <w:sz w:val="20"/>
                <w:szCs w:val="20"/>
              </w:rPr>
              <w:t>minor</w:t>
            </w:r>
            <w:proofErr w:type="spellEnd"/>
            <w:r w:rsidRPr="00B47C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47CC0">
              <w:rPr>
                <w:rFonts w:ascii="Times New Roman" w:hAnsi="Times New Roman" w:cs="Times New Roman"/>
                <w:i/>
                <w:sz w:val="20"/>
                <w:szCs w:val="20"/>
              </w:rPr>
              <w:t>Nuphar</w:t>
            </w:r>
            <w:proofErr w:type="spellEnd"/>
            <w:r w:rsidRPr="00B47C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47CC0">
              <w:rPr>
                <w:rFonts w:ascii="Times New Roman" w:hAnsi="Times New Roman" w:cs="Times New Roman"/>
                <w:i/>
                <w:sz w:val="20"/>
                <w:szCs w:val="20"/>
              </w:rPr>
              <w:t>lutea</w:t>
            </w:r>
            <w:proofErr w:type="spellEnd"/>
            <w:r w:rsidRPr="00B47C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47CC0">
              <w:rPr>
                <w:rFonts w:ascii="Times New Roman" w:hAnsi="Times New Roman" w:cs="Times New Roman"/>
                <w:i/>
                <w:sz w:val="20"/>
                <w:szCs w:val="20"/>
              </w:rPr>
              <w:t>Nymphaea</w:t>
            </w:r>
            <w:proofErr w:type="spellEnd"/>
            <w:r w:rsidRPr="00B47C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47CC0">
              <w:rPr>
                <w:rFonts w:ascii="Times New Roman" w:hAnsi="Times New Roman" w:cs="Times New Roman"/>
                <w:i/>
                <w:sz w:val="20"/>
                <w:szCs w:val="20"/>
              </w:rPr>
              <w:t>alba</w:t>
            </w:r>
            <w:proofErr w:type="spellEnd"/>
            <w:r w:rsidRPr="00B47C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47CC0">
              <w:rPr>
                <w:rFonts w:ascii="Times New Roman" w:hAnsi="Times New Roman" w:cs="Times New Roman"/>
                <w:i/>
                <w:sz w:val="20"/>
                <w:szCs w:val="20"/>
              </w:rPr>
              <w:t>Nymphoides</w:t>
            </w:r>
            <w:proofErr w:type="spellEnd"/>
            <w:r w:rsidRPr="00B47C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47CC0">
              <w:rPr>
                <w:rFonts w:ascii="Times New Roman" w:hAnsi="Times New Roman" w:cs="Times New Roman"/>
                <w:i/>
                <w:sz w:val="20"/>
                <w:szCs w:val="20"/>
              </w:rPr>
              <w:t>peltata</w:t>
            </w:r>
            <w:proofErr w:type="spellEnd"/>
            <w:r w:rsidRPr="00B47C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47CC0">
              <w:rPr>
                <w:rFonts w:ascii="Times New Roman" w:hAnsi="Times New Roman" w:cs="Times New Roman"/>
                <w:i/>
                <w:sz w:val="20"/>
                <w:szCs w:val="20"/>
              </w:rPr>
              <w:t>Utricularia</w:t>
            </w:r>
            <w:proofErr w:type="spellEnd"/>
            <w:r w:rsidRPr="00B47C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47CC0">
              <w:rPr>
                <w:rFonts w:ascii="Times New Roman" w:hAnsi="Times New Roman" w:cs="Times New Roman"/>
                <w:i/>
                <w:sz w:val="20"/>
                <w:szCs w:val="20"/>
              </w:rPr>
              <w:t>vulgaris</w:t>
            </w:r>
            <w:proofErr w:type="spellEnd"/>
            <w:r w:rsidRPr="00B47C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47CC0">
              <w:rPr>
                <w:rFonts w:ascii="Times New Roman" w:hAnsi="Times New Roman" w:cs="Times New Roman"/>
                <w:i/>
                <w:sz w:val="20"/>
                <w:szCs w:val="20"/>
              </w:rPr>
              <w:t>Utrucularia</w:t>
            </w:r>
            <w:proofErr w:type="spellEnd"/>
            <w:r w:rsidRPr="00B47C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47CC0">
              <w:rPr>
                <w:rFonts w:ascii="Times New Roman" w:hAnsi="Times New Roman" w:cs="Times New Roman"/>
                <w:i/>
                <w:sz w:val="20"/>
                <w:szCs w:val="20"/>
              </w:rPr>
              <w:t>australis</w:t>
            </w:r>
            <w:proofErr w:type="spellEnd"/>
            <w:r w:rsidRPr="00B47CC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98138C" w:rsidRPr="00B47CC0" w14:paraId="3158A1FF" w14:textId="77777777" w:rsidTr="00142EB6">
        <w:trPr>
          <w:trHeight w:val="5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0402E" w14:textId="77777777" w:rsidR="0098138C" w:rsidRPr="00B47CC0" w:rsidRDefault="0098138C" w:rsidP="00142E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47CC0">
              <w:rPr>
                <w:rFonts w:ascii="Times New Roman" w:hAnsi="Times New Roman" w:cs="Times New Roman"/>
                <w:sz w:val="20"/>
                <w:szCs w:val="20"/>
              </w:rPr>
              <w:t xml:space="preserve">Zastúpenie </w:t>
            </w:r>
            <w:proofErr w:type="spellStart"/>
            <w:r w:rsidRPr="00B47CC0">
              <w:rPr>
                <w:rFonts w:ascii="Times New Roman" w:hAnsi="Times New Roman" w:cs="Times New Roman"/>
                <w:sz w:val="20"/>
                <w:szCs w:val="20"/>
              </w:rPr>
              <w:t>alochtónnych</w:t>
            </w:r>
            <w:proofErr w:type="spellEnd"/>
            <w:r w:rsidRPr="00B47CC0">
              <w:rPr>
                <w:rFonts w:ascii="Times New Roman" w:hAnsi="Times New Roman" w:cs="Times New Roman"/>
                <w:sz w:val="20"/>
                <w:szCs w:val="20"/>
              </w:rPr>
              <w:t>/inváznych/invázne sa správajúcich druhov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AF4CF" w14:textId="77777777" w:rsidR="0098138C" w:rsidRPr="00B47CC0" w:rsidRDefault="0098138C" w:rsidP="00142E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47CC0">
              <w:rPr>
                <w:rFonts w:ascii="Times New Roman" w:hAnsi="Times New Roman" w:cs="Times New Roman"/>
                <w:sz w:val="20"/>
                <w:szCs w:val="20"/>
              </w:rPr>
              <w:t>percento pokrytia/25 m</w:t>
            </w:r>
            <w:r w:rsidRPr="00B47C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E89B5" w14:textId="77777777" w:rsidR="0098138C" w:rsidRPr="00B47CC0" w:rsidRDefault="0098138C" w:rsidP="00142E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47C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5BCCC" w14:textId="77777777" w:rsidR="0098138C" w:rsidRPr="00B47CC0" w:rsidRDefault="0098138C" w:rsidP="00142E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47CC0">
              <w:rPr>
                <w:rFonts w:ascii="Times New Roman" w:hAnsi="Times New Roman" w:cs="Times New Roman"/>
                <w:sz w:val="20"/>
                <w:szCs w:val="20"/>
              </w:rPr>
              <w:t>Žiadny výskyt nepôvodných druhov</w:t>
            </w:r>
          </w:p>
        </w:tc>
      </w:tr>
      <w:tr w:rsidR="0098138C" w:rsidRPr="00B47CC0" w14:paraId="10B42163" w14:textId="77777777" w:rsidTr="00142EB6">
        <w:trPr>
          <w:trHeight w:val="26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B7CD8" w14:textId="77777777" w:rsidR="0098138C" w:rsidRPr="00B47CC0" w:rsidRDefault="0098138C" w:rsidP="00142E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47CC0">
              <w:rPr>
                <w:rFonts w:ascii="Times New Roman" w:hAnsi="Times New Roman" w:cs="Times New Roman"/>
                <w:sz w:val="20"/>
                <w:szCs w:val="20"/>
              </w:rPr>
              <w:t>Kvalita vody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012FB3" w14:textId="77777777" w:rsidR="0098138C" w:rsidRPr="00B47CC0" w:rsidRDefault="0098138C" w:rsidP="00142E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47CC0">
              <w:rPr>
                <w:rFonts w:ascii="Times New Roman" w:hAnsi="Times New Roman" w:cs="Times New Roman"/>
                <w:sz w:val="20"/>
                <w:szCs w:val="20"/>
              </w:rPr>
              <w:t>Monitoring kvality povrchových vôd (SHMU)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8FDFEF" w14:textId="77777777" w:rsidR="0098138C" w:rsidRPr="00B47CC0" w:rsidRDefault="0098138C" w:rsidP="00142E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47CC0">
              <w:rPr>
                <w:rFonts w:ascii="Times New Roman" w:hAnsi="Times New Roman" w:cs="Times New Roman"/>
                <w:sz w:val="20"/>
                <w:szCs w:val="20"/>
              </w:rPr>
              <w:t>Vyhovujúce výsledky</w:t>
            </w:r>
            <w:r w:rsidRPr="00B47CC0" w:rsidDel="008E15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8EC1F8" w14:textId="5AD3DC8D" w:rsidR="0098138C" w:rsidRPr="00B47CC0" w:rsidRDefault="0098138C" w:rsidP="009813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47CC0">
              <w:rPr>
                <w:rFonts w:ascii="Times New Roman" w:hAnsi="Times New Roman" w:cs="Times New Roman"/>
                <w:sz w:val="20"/>
                <w:szCs w:val="20"/>
              </w:rPr>
              <w:t>V zmysle výsledkov sledovania stavu kvality vody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B47C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VN Orava</w:t>
            </w:r>
            <w:r w:rsidRPr="00B47CC0">
              <w:rPr>
                <w:rFonts w:ascii="Times New Roman" w:hAnsi="Times New Roman" w:cs="Times New Roman"/>
                <w:sz w:val="20"/>
                <w:szCs w:val="20"/>
              </w:rPr>
              <w:t xml:space="preserve"> sa vyžaduje zachovanie stavu vyhovujúce v zmysle platných metodík na hodnotenie stavu kvality povrchových vôd. </w:t>
            </w:r>
            <w:r w:rsidRPr="001356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8" w:history="1">
              <w:r w:rsidRPr="0013560C">
                <w:rPr>
                  <w:rStyle w:val="Hypertextovprepojenie"/>
                  <w:rFonts w:ascii="Times New Roman" w:hAnsi="Times New Roman"/>
                  <w:sz w:val="20"/>
                  <w:szCs w:val="20"/>
                </w:rPr>
                <w:t>http://www.shmu.sk/</w:t>
              </w:r>
            </w:hyperlink>
            <w:r w:rsidRPr="001356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47CC0">
              <w:rPr>
                <w:rFonts w:ascii="Times New Roman" w:hAnsi="Times New Roman" w:cs="Times New Roman"/>
                <w:sz w:val="20"/>
                <w:szCs w:val="20"/>
              </w:rPr>
              <w:t xml:space="preserve"> – najmä nezhoršovanie parametrov znečistenia.</w:t>
            </w:r>
          </w:p>
        </w:tc>
      </w:tr>
    </w:tbl>
    <w:p w14:paraId="4F2CFCF2" w14:textId="77777777" w:rsidR="0098138C" w:rsidRDefault="0098138C" w:rsidP="006C2733">
      <w:pPr>
        <w:spacing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B6A7DC" w14:textId="7AB6BAE6" w:rsidR="006C2733" w:rsidRDefault="006C2733" w:rsidP="006C2733">
      <w:pPr>
        <w:spacing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0C1">
        <w:rPr>
          <w:rFonts w:ascii="Times New Roman" w:hAnsi="Times New Roman" w:cs="Times New Roman"/>
          <w:color w:val="000000"/>
          <w:sz w:val="24"/>
          <w:szCs w:val="24"/>
        </w:rPr>
        <w:t>Zlepšenie stavu druhu</w:t>
      </w:r>
      <w:r w:rsidRPr="001A10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A10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Bombina</w:t>
      </w:r>
      <w:proofErr w:type="spellEnd"/>
      <w:r w:rsidRPr="001A10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1A10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variegata</w:t>
      </w:r>
      <w:proofErr w:type="spellEnd"/>
      <w:r w:rsidRPr="001A10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1A10C1">
        <w:rPr>
          <w:rFonts w:ascii="Times New Roman" w:hAnsi="Times New Roman" w:cs="Times New Roman"/>
          <w:color w:val="000000"/>
          <w:sz w:val="24"/>
          <w:szCs w:val="24"/>
        </w:rPr>
        <w:t>za splnenia nasledovných atribútov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10C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559"/>
        <w:gridCol w:w="5103"/>
      </w:tblGrid>
      <w:tr w:rsidR="006C2733" w:rsidRPr="00680239" w14:paraId="0FAD9ED8" w14:textId="77777777" w:rsidTr="00BF71DA">
        <w:trPr>
          <w:trHeight w:val="4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C48D" w14:textId="62452139" w:rsidR="006C2733" w:rsidRPr="00680239" w:rsidRDefault="006C2733" w:rsidP="00BF71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1A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02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37E7" w14:textId="77777777" w:rsidR="006C2733" w:rsidRPr="00680239" w:rsidRDefault="006C2733" w:rsidP="00BF71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7B39" w14:textId="77777777" w:rsidR="006C2733" w:rsidRPr="00680239" w:rsidRDefault="006C2733" w:rsidP="00BF71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1F8A" w14:textId="77777777" w:rsidR="006C2733" w:rsidRPr="00680239" w:rsidRDefault="006C2733" w:rsidP="00BF71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6C2733" w:rsidRPr="00680239" w14:paraId="11C9F7E2" w14:textId="77777777" w:rsidTr="00BF71DA">
        <w:trPr>
          <w:trHeight w:val="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704F" w14:textId="77777777" w:rsidR="006C2733" w:rsidRPr="00680239" w:rsidRDefault="006C2733" w:rsidP="00BF71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34C9" w14:textId="77777777" w:rsidR="006C2733" w:rsidRPr="00680239" w:rsidRDefault="006C2733" w:rsidP="00BF71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adult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AB55" w14:textId="19273AAB" w:rsidR="006C2733" w:rsidRPr="00A0736D" w:rsidRDefault="00153216" w:rsidP="001532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50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AB15" w14:textId="435F0915" w:rsidR="006C2733" w:rsidRPr="00680239" w:rsidRDefault="006C2733" w:rsidP="00BF71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Odhaduje sa interval veľkosti po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pulácie v území </w:t>
            </w:r>
            <w:r w:rsidR="00153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 – 2</w:t>
            </w: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 jedincov (aktuál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</w:t>
            </w: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y údaj / z SDF), bude potrebný komplexnejší monitoring populácie druhu.</w:t>
            </w:r>
          </w:p>
        </w:tc>
      </w:tr>
      <w:tr w:rsidR="006C2733" w:rsidRPr="00680239" w14:paraId="4BB1B148" w14:textId="77777777" w:rsidTr="00BF71DA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55DF" w14:textId="77777777" w:rsidR="006C2733" w:rsidRPr="00680239" w:rsidRDefault="006C2733" w:rsidP="00BF71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známych lokalít s výskytom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0B67" w14:textId="77777777" w:rsidR="006C2733" w:rsidRPr="00680239" w:rsidRDefault="006C2733" w:rsidP="00BF71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3B85" w14:textId="6E0BC2F0" w:rsidR="006C2733" w:rsidRPr="00A0736D" w:rsidRDefault="00153216" w:rsidP="00BF71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20 – 6</w:t>
            </w:r>
            <w:r w:rsidR="006C2733" w:rsidRPr="00A0736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(v závislosti od vlhkostných pomerov v roku)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33A2" w14:textId="77777777" w:rsidR="006C2733" w:rsidRPr="00680239" w:rsidRDefault="006C2733" w:rsidP="00BF71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Udržiavaný počet zistených lokalít druhu, príp. zvýšenie počtu vytvorením nových lokalít druhu s vhodnými podmienkami pre reprodukciu.</w:t>
            </w:r>
          </w:p>
        </w:tc>
      </w:tr>
      <w:tr w:rsidR="006C2733" w:rsidRPr="001A10C1" w14:paraId="69974F0A" w14:textId="77777777" w:rsidTr="00BF71DA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F27E" w14:textId="77777777" w:rsidR="006C2733" w:rsidRPr="00680239" w:rsidRDefault="006C2733" w:rsidP="00BF71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Podiel potenciálneho reprodukčného biotopu v rámci lokality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B5B9" w14:textId="77777777" w:rsidR="006C2733" w:rsidRPr="00680239" w:rsidRDefault="006C2733" w:rsidP="00BF71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z výmery lokality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4E0E" w14:textId="77777777" w:rsidR="006C2733" w:rsidRPr="00680239" w:rsidRDefault="006C2733" w:rsidP="00BF71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5 % lokality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2C61" w14:textId="77777777" w:rsidR="006C2733" w:rsidRPr="001A10C1" w:rsidRDefault="006C2733" w:rsidP="00BF71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Podiel reprodukčných plôch v rámci lokality (v rámci nížinných lúk a lesov v ha) - stojaté vodné plochy s vegetáciou, periodicky zaplavované plochy v alúviu, niekedy aj v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koľajách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na cestách a mlákach.</w:t>
            </w:r>
          </w:p>
        </w:tc>
      </w:tr>
    </w:tbl>
    <w:p w14:paraId="6CC02F9C" w14:textId="77777777" w:rsidR="006C2733" w:rsidRDefault="006C2733" w:rsidP="006C2733">
      <w:pPr>
        <w:spacing w:line="240" w:lineRule="auto"/>
        <w:ind w:left="-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E38D0EE" w14:textId="77777777" w:rsidR="006C2733" w:rsidRDefault="006C2733" w:rsidP="006C2733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B7A4C">
        <w:rPr>
          <w:rFonts w:ascii="Times New Roman" w:hAnsi="Times New Roman" w:cs="Times New Roman"/>
          <w:sz w:val="24"/>
          <w:szCs w:val="24"/>
        </w:rPr>
        <w:t xml:space="preserve">Zlepšenie stavu druhu </w:t>
      </w:r>
      <w:proofErr w:type="spellStart"/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Triturus</w:t>
      </w:r>
      <w:proofErr w:type="spellEnd"/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montandonii</w:t>
      </w:r>
      <w:proofErr w:type="spellEnd"/>
      <w:r w:rsidRPr="009B7A4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9B7A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</w:t>
      </w:r>
      <w:r w:rsidRPr="009B7A4C">
        <w:rPr>
          <w:rFonts w:ascii="Times New Roman" w:hAnsi="Times New Roman" w:cs="Times New Roman"/>
          <w:sz w:val="24"/>
          <w:szCs w:val="24"/>
        </w:rPr>
        <w:t>a splnenia nasledovných atribútov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1418"/>
        <w:gridCol w:w="5103"/>
      </w:tblGrid>
      <w:tr w:rsidR="006C2733" w:rsidRPr="00652926" w14:paraId="279D6305" w14:textId="77777777" w:rsidTr="00BF71DA">
        <w:trPr>
          <w:trHeight w:val="3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406C" w14:textId="77777777" w:rsidR="006C2733" w:rsidRPr="009B7A4C" w:rsidRDefault="006C2733" w:rsidP="00BF71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4FBE" w14:textId="77777777" w:rsidR="006C2733" w:rsidRPr="009B7A4C" w:rsidRDefault="006C2733" w:rsidP="00BF71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0410" w14:textId="77777777" w:rsidR="006C2733" w:rsidRPr="009B7A4C" w:rsidRDefault="006C2733" w:rsidP="00BF71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C40F" w14:textId="77777777" w:rsidR="006C2733" w:rsidRPr="009B7A4C" w:rsidRDefault="006C2733" w:rsidP="00BF71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6C2733" w:rsidRPr="00680239" w14:paraId="6B837CBF" w14:textId="77777777" w:rsidTr="00BF71DA">
        <w:trPr>
          <w:trHeight w:val="3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7C20" w14:textId="77777777" w:rsidR="006C2733" w:rsidRPr="00680239" w:rsidRDefault="006C2733" w:rsidP="00BF71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B224" w14:textId="77777777" w:rsidR="006C2733" w:rsidRPr="00680239" w:rsidRDefault="006C2733" w:rsidP="00BF71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adult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D2BD" w14:textId="77777777" w:rsidR="006C2733" w:rsidRPr="00A0736D" w:rsidRDefault="006C2733" w:rsidP="00BF71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073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10 - 50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7754" w14:textId="77777777" w:rsidR="006C2733" w:rsidRPr="00680239" w:rsidRDefault="006C2733" w:rsidP="00BF71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Odhaduje sa interval veľkosti po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pulácie v území 0 – 5</w:t>
            </w: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 jedincov (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aktuály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údaj / z SDF), bude potrebný komplexnejší monitoring populácie druhu.</w:t>
            </w:r>
          </w:p>
        </w:tc>
      </w:tr>
      <w:tr w:rsidR="006C2733" w:rsidRPr="00680239" w14:paraId="427BDC72" w14:textId="77777777" w:rsidTr="00BF71DA">
        <w:trPr>
          <w:trHeight w:val="130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A42C" w14:textId="77777777" w:rsidR="006C2733" w:rsidRPr="00680239" w:rsidRDefault="006C2733" w:rsidP="00BF71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Rozloha potenciálneho reprodukčného biotopu</w:t>
            </w:r>
            <w:r w:rsidRPr="006802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FE55" w14:textId="77777777" w:rsidR="006C2733" w:rsidRPr="00680239" w:rsidRDefault="006C2733" w:rsidP="00BF71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CE42" w14:textId="0290309C" w:rsidR="006C2733" w:rsidRPr="00A0736D" w:rsidRDefault="006C2733" w:rsidP="00BF71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0736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0,25 – 0,5</w:t>
            </w:r>
            <w:r w:rsidR="0015321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(v závislosti od vlhkostných pomerov v roku)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8979" w14:textId="77777777" w:rsidR="006C2733" w:rsidRPr="00680239" w:rsidRDefault="006C2733" w:rsidP="00BF71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Reprodukčné lokality sú stojaté, hlbšie vodné nádrže, jazierka, jamy a pod.. Vyhýba sa zarybneným vodám. Žije v lesoch ale i v odlesnenej krajine, kde v okolí reprodukčnej lokality nachádza dostatok úkrytov pre skrytý spôsob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terestrického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života. </w:t>
            </w:r>
          </w:p>
        </w:tc>
      </w:tr>
      <w:tr w:rsidR="006C2733" w:rsidRPr="00680239" w14:paraId="7D91B256" w14:textId="77777777" w:rsidTr="00BF71DA">
        <w:trPr>
          <w:trHeight w:val="8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D410" w14:textId="77777777" w:rsidR="006C2733" w:rsidRPr="00680239" w:rsidRDefault="006C2733" w:rsidP="00BF71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Kvalita reprodukčného  biotopu druhu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2AB4" w14:textId="77777777" w:rsidR="006C2733" w:rsidRPr="00680239" w:rsidRDefault="006C2733" w:rsidP="00BF71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Hĺbka reprodukčných biotopov  (cm)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FA69" w14:textId="77777777" w:rsidR="006C2733" w:rsidRPr="00680239" w:rsidRDefault="006C2733" w:rsidP="00BF71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30  cm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3867" w14:textId="77777777" w:rsidR="006C2733" w:rsidRPr="00680239" w:rsidRDefault="006C2733" w:rsidP="00BF71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Dostatok reprodukčných biotopov s hĺbkou min. 30 cm, trvanie zavodnenia v období min. 1.3. – 31.7. </w:t>
            </w:r>
          </w:p>
        </w:tc>
      </w:tr>
      <w:tr w:rsidR="006C2733" w:rsidRPr="00680239" w14:paraId="6E22EE2E" w14:textId="77777777" w:rsidTr="00BF71DA">
        <w:trPr>
          <w:trHeight w:val="6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9529" w14:textId="77777777" w:rsidR="006C2733" w:rsidRPr="00680239" w:rsidRDefault="006C2733" w:rsidP="00BF71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Prítomnosť inváznych  druhov (ryby, korytnačky)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32EA" w14:textId="77777777" w:rsidR="006C2733" w:rsidRPr="00680239" w:rsidRDefault="006C2733" w:rsidP="00BF71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1FDE" w14:textId="77777777" w:rsidR="006C2733" w:rsidRPr="00680239" w:rsidRDefault="006C2733" w:rsidP="00BF71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277D" w14:textId="77777777" w:rsidR="006C2733" w:rsidRPr="00680239" w:rsidRDefault="006C2733" w:rsidP="00BF71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Bez výskytu týchto druhov.</w:t>
            </w:r>
          </w:p>
        </w:tc>
      </w:tr>
      <w:tr w:rsidR="006C2733" w:rsidRPr="00652926" w14:paraId="212304EF" w14:textId="77777777" w:rsidTr="00BF71DA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452F" w14:textId="77777777" w:rsidR="006C2733" w:rsidRPr="00680239" w:rsidRDefault="006C2733" w:rsidP="00BF71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Prítomnosť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submerznej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vegetácie na reprodukčnej lokalite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FA43" w14:textId="77777777" w:rsidR="006C2733" w:rsidRPr="00680239" w:rsidRDefault="006C2733" w:rsidP="00BF71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9C2E" w14:textId="77777777" w:rsidR="006C2733" w:rsidRPr="00680239" w:rsidRDefault="006C2733" w:rsidP="00BF71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50 %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6141" w14:textId="77777777" w:rsidR="006C2733" w:rsidRPr="00652926" w:rsidRDefault="006C2733" w:rsidP="00BF71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 Zachovanie potrebného výskytu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submerznej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vegetácie v lokalitách.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</w:tbl>
    <w:p w14:paraId="5781044A" w14:textId="77777777" w:rsidR="006C2733" w:rsidRDefault="006C2733" w:rsidP="006C2733">
      <w:pPr>
        <w:pStyle w:val="Zkladntext"/>
        <w:widowControl w:val="0"/>
        <w:ind w:left="360"/>
        <w:jc w:val="both"/>
        <w:rPr>
          <w:b w:val="0"/>
          <w:i/>
          <w:color w:val="000000"/>
          <w:sz w:val="22"/>
          <w:szCs w:val="22"/>
        </w:rPr>
      </w:pPr>
    </w:p>
    <w:p w14:paraId="4D5112AB" w14:textId="77777777" w:rsidR="00F10FA7" w:rsidRDefault="00F10FA7" w:rsidP="00F10FA7">
      <w:pPr>
        <w:pStyle w:val="Zkladntext"/>
        <w:widowControl w:val="0"/>
        <w:spacing w:after="120"/>
        <w:ind w:left="360" w:hanging="644"/>
        <w:jc w:val="both"/>
        <w:rPr>
          <w:b w:val="0"/>
          <w:bCs w:val="0"/>
          <w:shd w:val="clear" w:color="auto" w:fill="FFFFFF"/>
        </w:rPr>
      </w:pPr>
      <w:r>
        <w:rPr>
          <w:b w:val="0"/>
        </w:rPr>
        <w:t xml:space="preserve">Zlepšenie stavu druhu </w:t>
      </w:r>
      <w:proofErr w:type="spellStart"/>
      <w:r w:rsidRPr="00C61E46">
        <w:rPr>
          <w:i/>
        </w:rPr>
        <w:t>Lutra</w:t>
      </w:r>
      <w:proofErr w:type="spellEnd"/>
      <w:r w:rsidRPr="00C61E46">
        <w:rPr>
          <w:i/>
        </w:rPr>
        <w:t xml:space="preserve"> </w:t>
      </w:r>
      <w:proofErr w:type="spellStart"/>
      <w:r w:rsidRPr="00C61E46">
        <w:rPr>
          <w:i/>
        </w:rPr>
        <w:t>lutra</w:t>
      </w:r>
      <w:proofErr w:type="spellEnd"/>
      <w:r>
        <w:rPr>
          <w:b w:val="0"/>
          <w:i/>
        </w:rPr>
        <w:t xml:space="preserve"> </w:t>
      </w:r>
      <w:r>
        <w:rPr>
          <w:b w:val="0"/>
          <w:bCs w:val="0"/>
          <w:shd w:val="clear" w:color="auto" w:fill="FFFFFF"/>
        </w:rPr>
        <w:t>za splnenia nasledovných atribútov :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2546"/>
        <w:gridCol w:w="1706"/>
        <w:gridCol w:w="3686"/>
      </w:tblGrid>
      <w:tr w:rsidR="00F10FA7" w:rsidRPr="00652926" w14:paraId="55DAA659" w14:textId="77777777" w:rsidTr="00142EB6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460CE1" w14:textId="77777777" w:rsidR="00F10FA7" w:rsidRPr="00AA06A1" w:rsidRDefault="00F10FA7" w:rsidP="0014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06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8E44A" w14:textId="77777777" w:rsidR="00F10FA7" w:rsidRPr="00AA06A1" w:rsidRDefault="00F10FA7" w:rsidP="0014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06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Merateľnosť 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0AA879" w14:textId="77777777" w:rsidR="00F10FA7" w:rsidRPr="00AA06A1" w:rsidRDefault="00F10FA7" w:rsidP="0014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06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EE0FA2" w14:textId="77777777" w:rsidR="00F10FA7" w:rsidRPr="00AA06A1" w:rsidRDefault="00F10FA7" w:rsidP="0014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06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F10FA7" w:rsidRPr="00652926" w14:paraId="1BF1BF94" w14:textId="77777777" w:rsidTr="00142EB6">
        <w:trPr>
          <w:trHeight w:val="43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2C7EC5" w14:textId="77777777" w:rsidR="00F10FA7" w:rsidRPr="00652926" w:rsidRDefault="00F10FA7" w:rsidP="00142E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Kvalita</w:t>
            </w:r>
            <w:r w:rsidRPr="00652926">
              <w:rPr>
                <w:rFonts w:ascii="Times New Roman" w:hAnsi="Times New Roman" w:cs="Times New Roman"/>
                <w:sz w:val="18"/>
                <w:szCs w:val="18"/>
              </w:rPr>
              <w:t xml:space="preserve"> populácie 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082EA0" w14:textId="77777777" w:rsidR="00F10FA7" w:rsidRPr="00652926" w:rsidRDefault="00F10FA7" w:rsidP="0014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926">
              <w:rPr>
                <w:rFonts w:ascii="Times New Roman" w:hAnsi="Times New Roman" w:cs="Times New Roman"/>
                <w:sz w:val="18"/>
                <w:szCs w:val="18"/>
              </w:rPr>
              <w:t>Počet jedincov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(cez evidenciu pobytových znakov)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F1688D" w14:textId="77777777" w:rsidR="00F10FA7" w:rsidRPr="00652926" w:rsidRDefault="00F10FA7" w:rsidP="0014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Viac ako 3 zaznamenaných pobytových znakov na 1 km úseku toku</w:t>
            </w: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49416" w14:textId="77777777" w:rsidR="00F10FA7" w:rsidRPr="00652926" w:rsidRDefault="00F10FA7" w:rsidP="00142EB6">
            <w:pPr>
              <w:pStyle w:val="PredformtovanHTML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292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Podľa údajov je výskyt druhu marginálny, populácia v SDF je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odhadovaná na 4</w:t>
            </w:r>
            <w:r w:rsidRPr="00A0736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až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</w:t>
            </w:r>
            <w:r w:rsidRPr="0065292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jedincov. </w:t>
            </w:r>
          </w:p>
        </w:tc>
      </w:tr>
      <w:tr w:rsidR="00F10FA7" w:rsidRPr="00652926" w14:paraId="705E5DBE" w14:textId="77777777" w:rsidTr="00142EB6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4F41FE" w14:textId="77777777" w:rsidR="00F10FA7" w:rsidRPr="00652926" w:rsidRDefault="00F10FA7" w:rsidP="0014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Biotop druhu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A36613" w14:textId="77777777" w:rsidR="00F10FA7" w:rsidRPr="00652926" w:rsidRDefault="00F10FA7" w:rsidP="0014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Počet km úseku vodného toku s výskytom biotopu druhu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F8E3E" w14:textId="77777777" w:rsidR="00F10FA7" w:rsidRPr="00652926" w:rsidRDefault="00F10FA7" w:rsidP="0014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14,8 km</w:t>
            </w: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50A1DC" w14:textId="77777777" w:rsidR="00F10FA7" w:rsidRPr="00652926" w:rsidRDefault="00F10FA7" w:rsidP="0014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926">
              <w:rPr>
                <w:rFonts w:ascii="Times New Roman" w:hAnsi="Times New Roman" w:cs="Times New Roman"/>
                <w:sz w:val="18"/>
                <w:szCs w:val="18"/>
              </w:rPr>
              <w:t>Lokalita poskytuje pomerne veľký počet bohato štr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uktúrovaných brehových porastov - brehových línií vodných tokov a brehov a lagún vodnej nádrže</w:t>
            </w:r>
          </w:p>
        </w:tc>
      </w:tr>
      <w:tr w:rsidR="00F10FA7" w:rsidRPr="00652926" w14:paraId="36CF631E" w14:textId="77777777" w:rsidTr="00142EB6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F46A5" w14:textId="77777777" w:rsidR="00F10FA7" w:rsidRDefault="00F10FA7" w:rsidP="0014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Migrácia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61542" w14:textId="77777777" w:rsidR="00F10FA7" w:rsidRDefault="00F10FA7" w:rsidP="0014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Počet uhynutých jedincov na cestách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A85C7" w14:textId="77777777" w:rsidR="00F10FA7" w:rsidRDefault="00F10FA7" w:rsidP="0014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B0659" w14:textId="77777777" w:rsidR="00F10FA7" w:rsidRPr="000A7B67" w:rsidRDefault="00F10FA7" w:rsidP="0014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7B67">
              <w:rPr>
                <w:rFonts w:ascii="Times New Roman" w:hAnsi="Times New Roman" w:cs="Times New Roman"/>
                <w:sz w:val="18"/>
                <w:szCs w:val="18"/>
              </w:rPr>
              <w:t xml:space="preserve">Umožnená migrácia druhu, bez zaznamenaných úhynov na cestných komunikáciách v okolí </w:t>
            </w:r>
            <w:r w:rsidRPr="000A7B67">
              <w:rPr>
                <w:rStyle w:val="fontstyle01"/>
                <w:rFonts w:ascii="Times New Roman" w:hAnsi="Times New Roman" w:cs="Times New Roman"/>
                <w:bCs/>
                <w:sz w:val="18"/>
                <w:szCs w:val="18"/>
              </w:rPr>
              <w:t>(najmä na št. ceste I.</w:t>
            </w:r>
            <w:r w:rsidRPr="000A7B67">
              <w:rPr>
                <w:color w:val="000000"/>
                <w:sz w:val="18"/>
                <w:szCs w:val="18"/>
              </w:rPr>
              <w:t xml:space="preserve"> </w:t>
            </w:r>
            <w:r w:rsidRPr="000A7B67">
              <w:rPr>
                <w:rStyle w:val="fontstyle01"/>
                <w:rFonts w:ascii="Times New Roman" w:hAnsi="Times New Roman" w:cs="Times New Roman"/>
                <w:bCs/>
                <w:sz w:val="18"/>
                <w:szCs w:val="18"/>
              </w:rPr>
              <w:t>triedy č. I/59 – E77 Trstená – Chyžné)</w:t>
            </w:r>
          </w:p>
        </w:tc>
      </w:tr>
      <w:tr w:rsidR="00F10FA7" w:rsidRPr="00652926" w14:paraId="3CC3B3A4" w14:textId="77777777" w:rsidTr="00142EB6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1A471F" w14:textId="77777777" w:rsidR="00F10FA7" w:rsidRPr="00652926" w:rsidRDefault="00F10FA7" w:rsidP="0014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74635" w14:textId="77777777" w:rsidR="00F10FA7" w:rsidRPr="00652926" w:rsidRDefault="00F10FA7" w:rsidP="0014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D1FD7" w14:textId="77777777" w:rsidR="00F10FA7" w:rsidRPr="00652926" w:rsidRDefault="00F10FA7" w:rsidP="0014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vyhovujúce</w:t>
            </w:r>
            <w:r w:rsidRPr="007E136C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výsledky</w:t>
            </w: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7B6AF8" w14:textId="77777777" w:rsidR="00F10FA7" w:rsidRPr="00FA02FD" w:rsidRDefault="00F10FA7" w:rsidP="0014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r w:rsidRPr="000A7B67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</w:t>
            </w:r>
            <w:proofErr w:type="spellStart"/>
            <w:r w:rsidRPr="000A7B67">
              <w:rPr>
                <w:rFonts w:ascii="Times New Roman" w:hAnsi="Times New Roman" w:cs="Times New Roman"/>
                <w:sz w:val="18"/>
                <w:szCs w:val="18"/>
              </w:rPr>
              <w:t>sledovani</w:t>
            </w:r>
            <w:proofErr w:type="spellEnd"/>
            <w:r w:rsidRPr="000A7B67">
              <w:rPr>
                <w:rFonts w:ascii="Times New Roman" w:hAnsi="Times New Roman" w:cs="Times New Roman"/>
                <w:sz w:val="18"/>
                <w:szCs w:val="18"/>
              </w:rPr>
              <w:t xml:space="preserve"> stavu kvality vody v tokoch sa vyžaduje zachovanie stavu vyhovujúce v zmysle platných metodík na hodnotenie stavu kvality povrchových vôd. </w:t>
            </w:r>
            <w:r w:rsidRPr="001356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9" w:history="1">
              <w:r w:rsidRPr="0013560C">
                <w:rPr>
                  <w:rStyle w:val="Hypertextovprepojenie"/>
                  <w:rFonts w:ascii="Times New Roman" w:hAnsi="Times New Roman"/>
                  <w:sz w:val="20"/>
                  <w:szCs w:val="20"/>
                </w:rPr>
                <w:t>http://www.shmu.sk/</w:t>
              </w:r>
            </w:hyperlink>
            <w:r w:rsidRPr="001356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ACF64AF" w14:textId="77777777" w:rsidR="00F10FA7" w:rsidRDefault="00F10FA7" w:rsidP="00F10FA7">
      <w:pPr>
        <w:pStyle w:val="Zkladntext"/>
        <w:widowControl w:val="0"/>
        <w:ind w:left="360"/>
        <w:jc w:val="both"/>
        <w:rPr>
          <w:b w:val="0"/>
          <w:i/>
          <w:color w:val="000000"/>
          <w:sz w:val="22"/>
          <w:szCs w:val="22"/>
        </w:rPr>
      </w:pPr>
    </w:p>
    <w:p w14:paraId="415659B4" w14:textId="77777777" w:rsidR="00F10FA7" w:rsidRDefault="00F10FA7" w:rsidP="00F10FA7">
      <w:pPr>
        <w:pStyle w:val="Zkladntext"/>
        <w:widowControl w:val="0"/>
        <w:ind w:hanging="284"/>
        <w:jc w:val="both"/>
        <w:rPr>
          <w:b w:val="0"/>
          <w:color w:val="000000"/>
        </w:rPr>
      </w:pPr>
      <w:r w:rsidRPr="0081610B">
        <w:rPr>
          <w:b w:val="0"/>
          <w:color w:val="000000"/>
        </w:rPr>
        <w:t xml:space="preserve">Zlepšenie stavu druhu </w:t>
      </w:r>
      <w:proofErr w:type="spellStart"/>
      <w:r w:rsidRPr="00DC2750">
        <w:rPr>
          <w:i/>
        </w:rPr>
        <w:t>Cottus</w:t>
      </w:r>
      <w:proofErr w:type="spellEnd"/>
      <w:r w:rsidRPr="00DC2750">
        <w:rPr>
          <w:i/>
        </w:rPr>
        <w:t xml:space="preserve"> </w:t>
      </w:r>
      <w:proofErr w:type="spellStart"/>
      <w:r w:rsidRPr="00DC2750">
        <w:rPr>
          <w:i/>
        </w:rPr>
        <w:t>gobio</w:t>
      </w:r>
      <w:proofErr w:type="spellEnd"/>
      <w:r w:rsidRPr="0081610B">
        <w:rPr>
          <w:b w:val="0"/>
        </w:rPr>
        <w:t xml:space="preserve"> </w:t>
      </w:r>
      <w:r w:rsidRPr="0081610B">
        <w:rPr>
          <w:b w:val="0"/>
          <w:color w:val="000000"/>
        </w:rPr>
        <w:t>za</w:t>
      </w:r>
      <w:r w:rsidRPr="0081610B">
        <w:rPr>
          <w:b w:val="0"/>
          <w:bCs w:val="0"/>
          <w:shd w:val="clear" w:color="auto" w:fill="FFFFFF"/>
        </w:rPr>
        <w:t xml:space="preserve"> </w:t>
      </w:r>
      <w:r w:rsidRPr="0081610B">
        <w:rPr>
          <w:b w:val="0"/>
          <w:color w:val="000000"/>
        </w:rPr>
        <w:t>splnenia nasledovných atribútov:</w:t>
      </w:r>
    </w:p>
    <w:tbl>
      <w:tblPr>
        <w:tblW w:w="507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22"/>
        <w:gridCol w:w="1448"/>
        <w:gridCol w:w="1095"/>
        <w:gridCol w:w="5028"/>
      </w:tblGrid>
      <w:tr w:rsidR="00F10FA7" w:rsidRPr="00DC2750" w14:paraId="413DB642" w14:textId="77777777" w:rsidTr="00142EB6">
        <w:trPr>
          <w:trHeight w:val="437"/>
          <w:jc w:val="center"/>
        </w:trPr>
        <w:tc>
          <w:tcPr>
            <w:tcW w:w="19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C16D9" w14:textId="77777777" w:rsidR="00F10FA7" w:rsidRPr="00DC2750" w:rsidRDefault="00F10FA7" w:rsidP="0014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54F1C" w14:textId="77777777" w:rsidR="00F10FA7" w:rsidRPr="00DC2750" w:rsidRDefault="00F10FA7" w:rsidP="0014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Merateľnosť 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8BB90" w14:textId="77777777" w:rsidR="00F10FA7" w:rsidRPr="00DC2750" w:rsidRDefault="00F10FA7" w:rsidP="0014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50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06DB7" w14:textId="77777777" w:rsidR="00F10FA7" w:rsidRPr="00DC2750" w:rsidRDefault="00F10FA7" w:rsidP="0014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7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F10FA7" w:rsidRPr="00DC2750" w14:paraId="42BF1D14" w14:textId="77777777" w:rsidTr="00142EB6">
        <w:trPr>
          <w:trHeight w:val="225"/>
          <w:jc w:val="center"/>
        </w:trPr>
        <w:tc>
          <w:tcPr>
            <w:tcW w:w="19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85E554" w14:textId="77777777" w:rsidR="00F10FA7" w:rsidRPr="00DC2750" w:rsidRDefault="00F10FA7" w:rsidP="00142EB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4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BBC22C" w14:textId="77777777" w:rsidR="00F10FA7" w:rsidRPr="00DC2750" w:rsidRDefault="00F10FA7" w:rsidP="00142EB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Relatívna početnosť druhu na 100 m monitorované-ho úseku toku 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14F929" w14:textId="77777777" w:rsidR="00F10FA7" w:rsidRPr="00DC2750" w:rsidRDefault="00F10FA7" w:rsidP="00142EB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2</w:t>
            </w: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0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A7784E" w14:textId="77777777" w:rsidR="00F10FA7" w:rsidRPr="00DC2750" w:rsidRDefault="00F10FA7" w:rsidP="00142EB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Udržiavané zastúpenie 40 – 2</w:t>
            </w:r>
            <w:r w:rsidRPr="00DC27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 jedincov na monitorovaný úsek.</w:t>
            </w: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275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t>Je potrebný opakovaný monitoring stavu populácie druhu.</w:t>
            </w:r>
          </w:p>
        </w:tc>
      </w:tr>
      <w:tr w:rsidR="00F10FA7" w:rsidRPr="00DC2750" w14:paraId="71D3DF06" w14:textId="77777777" w:rsidTr="00142EB6">
        <w:trPr>
          <w:trHeight w:val="225"/>
          <w:jc w:val="center"/>
        </w:trPr>
        <w:tc>
          <w:tcPr>
            <w:tcW w:w="19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CB72D0" w14:textId="77777777" w:rsidR="00F10FA7" w:rsidRPr="00DC2750" w:rsidRDefault="00F10FA7" w:rsidP="00142EB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mikro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mezohabitatov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v hodnotenom úseku toku </w:t>
            </w:r>
          </w:p>
        </w:tc>
        <w:tc>
          <w:tcPr>
            <w:tcW w:w="14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07AA3" w14:textId="77777777" w:rsidR="00F10FA7" w:rsidRPr="00DC2750" w:rsidRDefault="00F10FA7" w:rsidP="00142EB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% na 1 km toku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DC0B1" w14:textId="77777777" w:rsidR="00F10FA7" w:rsidRPr="00DC2750" w:rsidRDefault="00F10FA7" w:rsidP="00142EB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&gt; 70</w:t>
            </w:r>
          </w:p>
        </w:tc>
        <w:tc>
          <w:tcPr>
            <w:tcW w:w="50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861B58" w14:textId="77777777" w:rsidR="00F10FA7" w:rsidRPr="00DC2750" w:rsidRDefault="00F10FA7" w:rsidP="00142EB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Jedná sa o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reofilný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bentický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druh, obývajúci horské až podhorské toky s členitým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balvanitým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dnom a chladnou vodou bohatou na obsah kyslíka. Ukrýva sa pod väčšími balvanmi. </w:t>
            </w:r>
          </w:p>
        </w:tc>
      </w:tr>
      <w:tr w:rsidR="00F10FA7" w:rsidRPr="00DC2750" w14:paraId="6F9188A6" w14:textId="77777777" w:rsidTr="00142EB6">
        <w:trPr>
          <w:trHeight w:val="225"/>
          <w:jc w:val="center"/>
        </w:trPr>
        <w:tc>
          <w:tcPr>
            <w:tcW w:w="19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1FE423" w14:textId="77777777" w:rsidR="00F10FA7" w:rsidRPr="00DC2750" w:rsidRDefault="00F10FA7" w:rsidP="00142EB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Podiel prirodzených úkrytov v toku na dĺžku vodného útvaru </w:t>
            </w:r>
          </w:p>
        </w:tc>
        <w:tc>
          <w:tcPr>
            <w:tcW w:w="14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7FEF67" w14:textId="77777777" w:rsidR="00F10FA7" w:rsidRPr="00DC2750" w:rsidRDefault="00F10FA7" w:rsidP="00142EB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% na 1 km toku</w:t>
            </w:r>
          </w:p>
          <w:p w14:paraId="09101059" w14:textId="77777777" w:rsidR="00F10FA7" w:rsidRPr="00DC2750" w:rsidRDefault="00F10FA7" w:rsidP="00142EB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4FD636" w14:textId="77777777" w:rsidR="00F10FA7" w:rsidRPr="00DC2750" w:rsidRDefault="00F10FA7" w:rsidP="00142EB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&gt; 5</w:t>
            </w:r>
          </w:p>
        </w:tc>
        <w:tc>
          <w:tcPr>
            <w:tcW w:w="5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9B214" w14:textId="77777777" w:rsidR="00F10FA7" w:rsidRPr="00DC2750" w:rsidRDefault="00F10FA7" w:rsidP="00142EB6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Prítomnosť prirodzených úkrytov (napr. padnuté stromy, mŕtve drevo,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submerzné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korene, podmyté brehy) v toku je dôležitá pre zabezpečenie dostatočného množstva úkrytov pre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dospelce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i juvenilné jedince druhu, ako aj dostupnej potravy (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makrozoobentos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, larvy vodného hmyzu a pod.).</w:t>
            </w:r>
          </w:p>
        </w:tc>
      </w:tr>
      <w:tr w:rsidR="00F10FA7" w:rsidRPr="00DC2750" w14:paraId="68438026" w14:textId="77777777" w:rsidTr="00142EB6">
        <w:trPr>
          <w:trHeight w:val="225"/>
          <w:jc w:val="center"/>
        </w:trPr>
        <w:tc>
          <w:tcPr>
            <w:tcW w:w="19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342AE9" w14:textId="77777777" w:rsidR="00F10FA7" w:rsidRPr="00DC2750" w:rsidRDefault="00F10FA7" w:rsidP="00142EB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Pokryvnosť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stromovej vegetácie na brehoch</w:t>
            </w:r>
          </w:p>
        </w:tc>
        <w:tc>
          <w:tcPr>
            <w:tcW w:w="14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5F07FC" w14:textId="77777777" w:rsidR="00F10FA7" w:rsidRPr="00DC2750" w:rsidRDefault="00F10FA7" w:rsidP="00142EB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C21221" w14:textId="77777777" w:rsidR="00F10FA7" w:rsidRPr="00DC2750" w:rsidRDefault="00F10FA7" w:rsidP="00142EB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≥ 80</w:t>
            </w:r>
          </w:p>
        </w:tc>
        <w:tc>
          <w:tcPr>
            <w:tcW w:w="50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E760C" w14:textId="77777777" w:rsidR="00F10FA7" w:rsidRPr="00DC2750" w:rsidRDefault="00F10FA7" w:rsidP="00142EB6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Druh uprednostňuje stromami zatienené prírode blízke úseky podhorských riek. Stromová brehová vegetácia slúži ako ochranná clona pred nadmerným prehrievaním vody.</w:t>
            </w:r>
          </w:p>
        </w:tc>
      </w:tr>
      <w:tr w:rsidR="00F10FA7" w:rsidRPr="00DC2750" w14:paraId="02C27B7D" w14:textId="77777777" w:rsidTr="00142EB6">
        <w:trPr>
          <w:trHeight w:val="397"/>
          <w:jc w:val="center"/>
        </w:trPr>
        <w:tc>
          <w:tcPr>
            <w:tcW w:w="19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983130" w14:textId="77777777" w:rsidR="00F10FA7" w:rsidRPr="00DC2750" w:rsidRDefault="00F10FA7" w:rsidP="00142EB6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Kvalita vody  </w:t>
            </w:r>
          </w:p>
        </w:tc>
        <w:tc>
          <w:tcPr>
            <w:tcW w:w="14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3A9D2" w14:textId="77777777" w:rsidR="00F10FA7" w:rsidRPr="00DC2750" w:rsidRDefault="00F10FA7" w:rsidP="00142EB6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B6BDA6" w14:textId="77777777" w:rsidR="00F10FA7" w:rsidRPr="00DC2750" w:rsidRDefault="00F10FA7" w:rsidP="00142E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vyhovujúce </w:t>
            </w:r>
          </w:p>
        </w:tc>
        <w:tc>
          <w:tcPr>
            <w:tcW w:w="50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965EDF" w14:textId="77777777" w:rsidR="00F10FA7" w:rsidRPr="00DC2750" w:rsidRDefault="00F10FA7" w:rsidP="00142EB6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Druh je citlivý na znečistenie a pomerne náročný na kvalitu vody, z hľadiska teploty, obsahu kyslíka, chemických i biologických ukazovateľov. V zmysle výsledkov 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sledovani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 stavu kvality vody v toku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Jelešňa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sa vyžaduje zachovanie stavu vyhovujúce v zmysle </w:t>
            </w:r>
            <w:r w:rsidRPr="00DC27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platných metodík na hodnotenie stavu kvality povrchových vôd </w:t>
            </w:r>
            <w:r w:rsidRPr="001356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10" w:history="1">
              <w:r w:rsidRPr="0013560C">
                <w:rPr>
                  <w:rStyle w:val="Hypertextovprepojenie"/>
                  <w:rFonts w:ascii="Times New Roman" w:hAnsi="Times New Roman"/>
                  <w:sz w:val="20"/>
                  <w:szCs w:val="20"/>
                </w:rPr>
                <w:t>http://www.shmu.sk/</w:t>
              </w:r>
            </w:hyperlink>
            <w:r w:rsidRPr="001356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10FA7" w:rsidRPr="00DC2750" w14:paraId="28033BC0" w14:textId="77777777" w:rsidTr="00142EB6">
        <w:trPr>
          <w:trHeight w:val="397"/>
          <w:jc w:val="center"/>
        </w:trPr>
        <w:tc>
          <w:tcPr>
            <w:tcW w:w="19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08223B" w14:textId="77777777" w:rsidR="00F10FA7" w:rsidRPr="00DC2750" w:rsidRDefault="00F10FA7" w:rsidP="00142EB6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Pozdĺžna kontinuita toku (eliminácia narušenia pozdĺžnej kontinuity)</w:t>
            </w:r>
          </w:p>
        </w:tc>
        <w:tc>
          <w:tcPr>
            <w:tcW w:w="14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1617A4" w14:textId="77777777" w:rsidR="00F10FA7" w:rsidRPr="00DC2750" w:rsidRDefault="00F10FA7" w:rsidP="00142EB6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95AFD7" w14:textId="77777777" w:rsidR="00F10FA7" w:rsidRPr="00A0736D" w:rsidRDefault="00F10FA7" w:rsidP="00142EB6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87ACF7" w14:textId="77777777" w:rsidR="00F10FA7" w:rsidRPr="00A0736D" w:rsidRDefault="00F10FA7" w:rsidP="00142EB6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736D">
              <w:rPr>
                <w:rFonts w:ascii="Times New Roman" w:hAnsi="Times New Roman" w:cs="Times New Roman"/>
                <w:sz w:val="18"/>
                <w:szCs w:val="18"/>
              </w:rPr>
              <w:t>Na úseku toku nie  je v súčasnosti žiadna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736D">
              <w:rPr>
                <w:rFonts w:ascii="Times New Roman" w:hAnsi="Times New Roman" w:cs="Times New Roman"/>
                <w:sz w:val="18"/>
                <w:szCs w:val="18"/>
              </w:rPr>
              <w:t>migračná bariéra.</w:t>
            </w:r>
          </w:p>
        </w:tc>
      </w:tr>
      <w:tr w:rsidR="00F10FA7" w:rsidRPr="00DC2750" w14:paraId="4282D426" w14:textId="77777777" w:rsidTr="00142EB6">
        <w:trPr>
          <w:trHeight w:val="397"/>
          <w:jc w:val="center"/>
        </w:trPr>
        <w:tc>
          <w:tcPr>
            <w:tcW w:w="19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7FB2F" w14:textId="77777777" w:rsidR="00F10FA7" w:rsidRPr="00DC2750" w:rsidRDefault="00F10FA7" w:rsidP="00142EB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Dominancia nepôvodných a inváznych druhov rýb v </w:t>
            </w:r>
            <w:proofErr w:type="spellStart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ichtyocenóze</w:t>
            </w:r>
            <w:proofErr w:type="spellEnd"/>
          </w:p>
        </w:tc>
        <w:tc>
          <w:tcPr>
            <w:tcW w:w="14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C0A05" w14:textId="77777777" w:rsidR="00F10FA7" w:rsidRPr="00DC2750" w:rsidRDefault="00F10FA7" w:rsidP="00142EB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E95AC0" w14:textId="77777777" w:rsidR="00F10FA7" w:rsidRPr="00DC2750" w:rsidRDefault="00F10FA7" w:rsidP="00142EB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0-1 %</w:t>
            </w:r>
          </w:p>
        </w:tc>
        <w:tc>
          <w:tcPr>
            <w:tcW w:w="50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4B5830" w14:textId="77777777" w:rsidR="00F10FA7" w:rsidRPr="00DC2750" w:rsidRDefault="00F10FA7" w:rsidP="00142EB6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27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Je potrebné monitorovať výskyt nepôvodných druhov, ako aj ich vplyv na </w:t>
            </w:r>
            <w:proofErr w:type="spellStart"/>
            <w:r w:rsidRPr="00DC27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ichtyocenózu</w:t>
            </w:r>
            <w:proofErr w:type="spellEnd"/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</w:tbl>
    <w:p w14:paraId="30117DD0" w14:textId="77777777" w:rsidR="00F10FA7" w:rsidRDefault="00F10FA7" w:rsidP="00F10FA7">
      <w:pPr>
        <w:pStyle w:val="Zkladntext"/>
        <w:widowControl w:val="0"/>
        <w:jc w:val="both"/>
        <w:rPr>
          <w:b w:val="0"/>
        </w:rPr>
      </w:pPr>
    </w:p>
    <w:p w14:paraId="2A1468DC" w14:textId="77777777" w:rsidR="00F10FA7" w:rsidRPr="0081610B" w:rsidRDefault="00F10FA7" w:rsidP="00F10FA7">
      <w:pPr>
        <w:pStyle w:val="Zkladntext"/>
        <w:widowControl w:val="0"/>
        <w:ind w:hanging="284"/>
        <w:jc w:val="both"/>
        <w:rPr>
          <w:b w:val="0"/>
        </w:rPr>
      </w:pPr>
      <w:r>
        <w:rPr>
          <w:b w:val="0"/>
          <w:color w:val="000000"/>
        </w:rPr>
        <w:t>Zlepšenie</w:t>
      </w:r>
      <w:r w:rsidRPr="0081610B">
        <w:rPr>
          <w:b w:val="0"/>
          <w:color w:val="000000"/>
        </w:rPr>
        <w:t xml:space="preserve"> stavu druhu </w:t>
      </w:r>
      <w:proofErr w:type="spellStart"/>
      <w:r>
        <w:rPr>
          <w:i/>
        </w:rPr>
        <w:t>Eudontomyzon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mariae</w:t>
      </w:r>
      <w:proofErr w:type="spellEnd"/>
      <w:r>
        <w:rPr>
          <w:i/>
        </w:rPr>
        <w:t xml:space="preserve"> </w:t>
      </w:r>
      <w:r w:rsidRPr="0081610B">
        <w:rPr>
          <w:b w:val="0"/>
          <w:color w:val="000000"/>
        </w:rPr>
        <w:t>za</w:t>
      </w:r>
      <w:r w:rsidRPr="0081610B">
        <w:rPr>
          <w:b w:val="0"/>
          <w:bCs w:val="0"/>
          <w:shd w:val="clear" w:color="auto" w:fill="FFFFFF"/>
        </w:rPr>
        <w:t xml:space="preserve"> </w:t>
      </w:r>
      <w:r w:rsidRPr="0081610B">
        <w:rPr>
          <w:b w:val="0"/>
          <w:color w:val="000000"/>
        </w:rPr>
        <w:t>splnenia nasledovných atribútov:</w:t>
      </w:r>
    </w:p>
    <w:tbl>
      <w:tblPr>
        <w:tblW w:w="507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94"/>
        <w:gridCol w:w="1524"/>
        <w:gridCol w:w="1142"/>
        <w:gridCol w:w="5033"/>
      </w:tblGrid>
      <w:tr w:rsidR="00F10FA7" w:rsidRPr="00870D1F" w14:paraId="0515C120" w14:textId="77777777" w:rsidTr="00142EB6">
        <w:trPr>
          <w:jc w:val="center"/>
        </w:trPr>
        <w:tc>
          <w:tcPr>
            <w:tcW w:w="1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780A8" w14:textId="77777777" w:rsidR="00F10FA7" w:rsidRPr="00870D1F" w:rsidRDefault="00F10FA7" w:rsidP="0014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FAAD5" w14:textId="77777777" w:rsidR="00F10FA7" w:rsidRPr="00870D1F" w:rsidRDefault="00F10FA7" w:rsidP="0014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9ACAE" w14:textId="77777777" w:rsidR="00F10FA7" w:rsidRPr="00870D1F" w:rsidRDefault="00F10FA7" w:rsidP="0014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2806D" w14:textId="77777777" w:rsidR="00F10FA7" w:rsidRPr="00870D1F" w:rsidRDefault="00F10FA7" w:rsidP="0014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F10FA7" w:rsidRPr="001258AA" w14:paraId="724C24FA" w14:textId="77777777" w:rsidTr="00142EB6">
        <w:trPr>
          <w:trHeight w:val="225"/>
          <w:jc w:val="center"/>
        </w:trPr>
        <w:tc>
          <w:tcPr>
            <w:tcW w:w="1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E8EEA" w14:textId="77777777" w:rsidR="00F10FA7" w:rsidRPr="001258AA" w:rsidRDefault="00F10FA7" w:rsidP="00142EB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Veľkosť populácie</w:t>
            </w:r>
          </w:p>
        </w:tc>
        <w:tc>
          <w:tcPr>
            <w:tcW w:w="1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D79E2" w14:textId="77777777" w:rsidR="00F10FA7" w:rsidRPr="001258AA" w:rsidRDefault="00F10FA7" w:rsidP="00142EB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Relatívna početnosť jedincov na 100 m monitorovaného úseku toku (CPUE)</w:t>
            </w:r>
          </w:p>
        </w:tc>
        <w:tc>
          <w:tcPr>
            <w:tcW w:w="1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98288" w14:textId="77777777" w:rsidR="00F10FA7" w:rsidRPr="001258AA" w:rsidRDefault="00F10FA7" w:rsidP="00142EB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min. 1</w:t>
            </w:r>
          </w:p>
        </w:tc>
        <w:tc>
          <w:tcPr>
            <w:tcW w:w="5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1746C" w14:textId="77777777" w:rsidR="00F10FA7" w:rsidRPr="001258AA" w:rsidRDefault="00F10FA7" w:rsidP="00142EB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Podľa dostupných údajov dosahoval druh v hlavnom toku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početnosť od 100  do 600 jedincov. </w:t>
            </w:r>
          </w:p>
        </w:tc>
      </w:tr>
      <w:tr w:rsidR="00F10FA7" w:rsidRPr="001258AA" w14:paraId="7EA073FE" w14:textId="77777777" w:rsidTr="00142EB6">
        <w:trPr>
          <w:trHeight w:val="225"/>
          <w:jc w:val="center"/>
        </w:trPr>
        <w:tc>
          <w:tcPr>
            <w:tcW w:w="1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3918A" w14:textId="77777777" w:rsidR="00F10FA7" w:rsidRPr="001258AA" w:rsidRDefault="00F10FA7" w:rsidP="00142EB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Zastúpenie vhodných </w:t>
            </w:r>
            <w:proofErr w:type="spellStart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mezohabitatov</w:t>
            </w:r>
            <w:proofErr w:type="spellEnd"/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 v hodnotenom úseku toku</w:t>
            </w:r>
          </w:p>
        </w:tc>
        <w:tc>
          <w:tcPr>
            <w:tcW w:w="1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34BC0" w14:textId="77777777" w:rsidR="00F10FA7" w:rsidRPr="001258AA" w:rsidRDefault="00F10FA7" w:rsidP="00142EB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% na 1km toku</w:t>
            </w:r>
          </w:p>
        </w:tc>
        <w:tc>
          <w:tcPr>
            <w:tcW w:w="1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DDEE4" w14:textId="77777777" w:rsidR="00F10FA7" w:rsidRPr="001258AA" w:rsidRDefault="00F10FA7" w:rsidP="00142EB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&gt;30</w:t>
            </w:r>
          </w:p>
        </w:tc>
        <w:tc>
          <w:tcPr>
            <w:tcW w:w="5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C9803" w14:textId="77777777" w:rsidR="00F10FA7" w:rsidRPr="005D7188" w:rsidRDefault="00F10FA7" w:rsidP="00142EB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Larvy druhu vyžadujú </w:t>
            </w:r>
            <w:r w:rsidRPr="005D7188">
              <w:rPr>
                <w:rFonts w:ascii="Times New Roman" w:hAnsi="Times New Roman" w:cs="Times New Roman"/>
                <w:sz w:val="18"/>
                <w:szCs w:val="18"/>
              </w:rPr>
              <w:t>je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mné naplavené sedimenty v koryte toku v miestach, kde pomalé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proudenie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7188">
              <w:rPr>
                <w:rFonts w:ascii="Times New Roman" w:hAnsi="Times New Roman" w:cs="Times New Roman"/>
                <w:sz w:val="18"/>
                <w:szCs w:val="18"/>
              </w:rPr>
              <w:t>vody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menej ako 0,5 m/s – vhodné podmienky </w:t>
            </w:r>
            <w:r w:rsidRPr="000A7B67">
              <w:rPr>
                <w:rFonts w:ascii="Times New Roman" w:hAnsi="Times New Roman" w:cs="Times New Roman"/>
                <w:sz w:val="18"/>
                <w:szCs w:val="18"/>
              </w:rPr>
              <w:t>po r. km cca 4,00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10FA7" w:rsidRPr="001258AA" w14:paraId="45592660" w14:textId="77777777" w:rsidTr="00142EB6">
        <w:trPr>
          <w:trHeight w:val="397"/>
          <w:jc w:val="center"/>
        </w:trPr>
        <w:tc>
          <w:tcPr>
            <w:tcW w:w="1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ECD5C" w14:textId="77777777" w:rsidR="00F10FA7" w:rsidRPr="001258AA" w:rsidRDefault="00F10FA7" w:rsidP="00142EB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Pozdĺžna kontinuita toku</w:t>
            </w:r>
          </w:p>
        </w:tc>
        <w:tc>
          <w:tcPr>
            <w:tcW w:w="15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92674" w14:textId="77777777" w:rsidR="00F10FA7" w:rsidRPr="001258AA" w:rsidRDefault="00F10FA7" w:rsidP="00142EB6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Počet migračných bariér </w:t>
            </w:r>
          </w:p>
        </w:tc>
        <w:tc>
          <w:tcPr>
            <w:tcW w:w="1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4F681" w14:textId="77777777" w:rsidR="00F10FA7" w:rsidRPr="005D7188" w:rsidRDefault="00F10FA7" w:rsidP="00142EB6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0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1557B" w14:textId="77777777" w:rsidR="00F10FA7" w:rsidRPr="001258AA" w:rsidRDefault="00F10FA7" w:rsidP="00142EB6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36D">
              <w:rPr>
                <w:rFonts w:ascii="Times New Roman" w:hAnsi="Times New Roman" w:cs="Times New Roman"/>
                <w:sz w:val="18"/>
                <w:szCs w:val="18"/>
              </w:rPr>
              <w:t>Na úseku toku nie  je v súčasnosti žiadna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736D">
              <w:rPr>
                <w:rFonts w:ascii="Times New Roman" w:hAnsi="Times New Roman" w:cs="Times New Roman"/>
                <w:sz w:val="18"/>
                <w:szCs w:val="18"/>
              </w:rPr>
              <w:t>migračná bariéra.</w:t>
            </w:r>
          </w:p>
        </w:tc>
      </w:tr>
      <w:tr w:rsidR="00F10FA7" w:rsidRPr="001258AA" w14:paraId="69B2D3FD" w14:textId="77777777" w:rsidTr="00142EB6">
        <w:trPr>
          <w:trHeight w:val="397"/>
          <w:jc w:val="center"/>
        </w:trPr>
        <w:tc>
          <w:tcPr>
            <w:tcW w:w="1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210C9" w14:textId="77777777" w:rsidR="00F10FA7" w:rsidRPr="001258AA" w:rsidRDefault="00F10FA7" w:rsidP="00142EB6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Kvalita vody </w:t>
            </w:r>
          </w:p>
        </w:tc>
        <w:tc>
          <w:tcPr>
            <w:tcW w:w="15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EAB5AE" w14:textId="77777777" w:rsidR="00F10FA7" w:rsidRPr="001258AA" w:rsidRDefault="00F10FA7" w:rsidP="00142EB6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1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4892B3" w14:textId="77777777" w:rsidR="00F10FA7" w:rsidRPr="001258AA" w:rsidRDefault="00F10FA7" w:rsidP="00142EB6">
            <w:pPr>
              <w:spacing w:line="240" w:lineRule="auto"/>
              <w:ind w:lef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750">
              <w:rPr>
                <w:rFonts w:ascii="Times New Roman" w:hAnsi="Times New Roman" w:cs="Times New Roman"/>
                <w:sz w:val="18"/>
                <w:szCs w:val="18"/>
              </w:rPr>
              <w:t xml:space="preserve">vyhovujúce </w:t>
            </w:r>
          </w:p>
        </w:tc>
        <w:tc>
          <w:tcPr>
            <w:tcW w:w="50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30C99A" w14:textId="77777777" w:rsidR="00F10FA7" w:rsidRPr="00FA02FD" w:rsidRDefault="00F10FA7" w:rsidP="00142EB6">
            <w:pPr>
              <w:spacing w:line="240" w:lineRule="auto"/>
              <w:ind w:left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2FD">
              <w:rPr>
                <w:rFonts w:ascii="Times New Roman" w:hAnsi="Times New Roman" w:cs="Times New Roman"/>
                <w:sz w:val="18"/>
                <w:szCs w:val="18"/>
              </w:rPr>
              <w:t xml:space="preserve">Druh je citlivý na znečistenie a pomerne náročný na kvalitu vody, z hľadiska teploty, obsahu kyslíka, chemických i biologických ukazovateľov. V zmysle výsledkov </w:t>
            </w:r>
            <w:proofErr w:type="spellStart"/>
            <w:r w:rsidRPr="00FA02FD">
              <w:rPr>
                <w:rFonts w:ascii="Times New Roman" w:hAnsi="Times New Roman" w:cs="Times New Roman"/>
                <w:sz w:val="18"/>
                <w:szCs w:val="18"/>
              </w:rPr>
              <w:t>sledovani</w:t>
            </w:r>
            <w:proofErr w:type="spellEnd"/>
            <w:r w:rsidRPr="00FA02FD">
              <w:rPr>
                <w:rFonts w:ascii="Times New Roman" w:hAnsi="Times New Roman" w:cs="Times New Roman"/>
                <w:sz w:val="18"/>
                <w:szCs w:val="18"/>
              </w:rPr>
              <w:t xml:space="preserve"> stavu kvality vody v toku </w:t>
            </w:r>
            <w:proofErr w:type="spellStart"/>
            <w:r w:rsidRPr="00FA02FD">
              <w:rPr>
                <w:rFonts w:ascii="Times New Roman" w:hAnsi="Times New Roman" w:cs="Times New Roman"/>
                <w:sz w:val="18"/>
                <w:szCs w:val="18"/>
              </w:rPr>
              <w:t>Jelešne</w:t>
            </w:r>
            <w:proofErr w:type="spellEnd"/>
            <w:r w:rsidRPr="00FA02FD">
              <w:rPr>
                <w:rFonts w:ascii="Times New Roman" w:hAnsi="Times New Roman" w:cs="Times New Roman"/>
                <w:sz w:val="18"/>
                <w:szCs w:val="18"/>
              </w:rPr>
              <w:t xml:space="preserve"> sa vyžaduje zachovanie stavu vyhovujúce v zmysle platných metodík na hodnotenie stavu kvality povrchových vôd (</w:t>
            </w:r>
            <w:hyperlink r:id="rId11" w:history="1">
              <w:r w:rsidRPr="00FA02FD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</w:t>
              </w:r>
            </w:hyperlink>
            <w:r w:rsidRPr="00FA02FD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</w:p>
        </w:tc>
      </w:tr>
    </w:tbl>
    <w:p w14:paraId="0C7B6FD9" w14:textId="77777777" w:rsidR="00F10FA7" w:rsidRDefault="00F10FA7" w:rsidP="00F10FA7">
      <w:pPr>
        <w:jc w:val="both"/>
      </w:pPr>
    </w:p>
    <w:p w14:paraId="767E90A0" w14:textId="77777777" w:rsidR="00F10FA7" w:rsidRDefault="00F10FA7" w:rsidP="00F10FA7">
      <w:pPr>
        <w:pStyle w:val="Zkladntext"/>
        <w:widowControl w:val="0"/>
        <w:spacing w:after="120"/>
        <w:ind w:left="360" w:hanging="644"/>
        <w:jc w:val="both"/>
        <w:rPr>
          <w:b w:val="0"/>
          <w:color w:val="000000"/>
          <w:shd w:val="clear" w:color="auto" w:fill="FFFFFF"/>
        </w:rPr>
      </w:pPr>
      <w:r>
        <w:rPr>
          <w:b w:val="0"/>
        </w:rPr>
        <w:t xml:space="preserve">Udržanie stavu </w:t>
      </w:r>
      <w:r w:rsidRPr="000C51F5">
        <w:rPr>
          <w:b w:val="0"/>
        </w:rPr>
        <w:t xml:space="preserve">druhu </w:t>
      </w:r>
      <w:proofErr w:type="spellStart"/>
      <w:r w:rsidRPr="00420AC5">
        <w:rPr>
          <w:i/>
        </w:rPr>
        <w:t>Castor</w:t>
      </w:r>
      <w:proofErr w:type="spellEnd"/>
      <w:r w:rsidRPr="00420AC5">
        <w:rPr>
          <w:i/>
        </w:rPr>
        <w:t xml:space="preserve"> </w:t>
      </w:r>
      <w:proofErr w:type="spellStart"/>
      <w:r w:rsidRPr="00420AC5">
        <w:rPr>
          <w:i/>
        </w:rPr>
        <w:t>fiber</w:t>
      </w:r>
      <w:proofErr w:type="spellEnd"/>
      <w:r w:rsidRPr="000C51F5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za splnenia nasledovných parametrov</w:t>
      </w:r>
      <w:r w:rsidRPr="000C51F5">
        <w:rPr>
          <w:b w:val="0"/>
          <w:color w:val="000000"/>
          <w:shd w:val="clear" w:color="auto" w:fill="FFFFFF"/>
        </w:rPr>
        <w:t>: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31"/>
        <w:gridCol w:w="1337"/>
        <w:gridCol w:w="1498"/>
        <w:gridCol w:w="4148"/>
      </w:tblGrid>
      <w:tr w:rsidR="00F10FA7" w:rsidRPr="000C51F5" w14:paraId="43723998" w14:textId="77777777" w:rsidTr="00142EB6">
        <w:tc>
          <w:tcPr>
            <w:tcW w:w="2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F3E30" w14:textId="77777777" w:rsidR="00F10FA7" w:rsidRPr="00381C45" w:rsidRDefault="00F10FA7" w:rsidP="0014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C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19F36" w14:textId="77777777" w:rsidR="00F10FA7" w:rsidRPr="00381C45" w:rsidRDefault="00F10FA7" w:rsidP="0014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C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5CA7B" w14:textId="77777777" w:rsidR="00F10FA7" w:rsidRPr="00381C45" w:rsidRDefault="00F10FA7" w:rsidP="0014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C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1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5D828" w14:textId="77777777" w:rsidR="00F10FA7" w:rsidRPr="00381C45" w:rsidRDefault="00F10FA7" w:rsidP="0014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C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F10FA7" w:rsidRPr="0018572C" w14:paraId="0758AD66" w14:textId="77777777" w:rsidTr="00142EB6">
        <w:trPr>
          <w:trHeight w:val="435"/>
        </w:trPr>
        <w:tc>
          <w:tcPr>
            <w:tcW w:w="2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84580" w14:textId="77777777" w:rsidR="00F10FA7" w:rsidRPr="000C51F5" w:rsidRDefault="00F10FA7" w:rsidP="00142E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F0BB5" w14:textId="77777777" w:rsidR="00F10FA7" w:rsidRPr="000C51F5" w:rsidRDefault="00F10FA7" w:rsidP="0014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Počet jedincov</w:t>
            </w:r>
          </w:p>
        </w:tc>
        <w:tc>
          <w:tcPr>
            <w:tcW w:w="1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0C7D1" w14:textId="77777777" w:rsidR="00F10FA7" w:rsidRPr="000C51F5" w:rsidRDefault="00F10FA7" w:rsidP="0014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E6514" w14:textId="77777777" w:rsidR="00F10FA7" w:rsidRPr="0018572C" w:rsidRDefault="00F10FA7" w:rsidP="0014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72C">
              <w:rPr>
                <w:rFonts w:ascii="Times New Roman" w:hAnsi="Times New Roman" w:cs="Times New Roman"/>
                <w:sz w:val="18"/>
                <w:szCs w:val="18"/>
              </w:rPr>
              <w:t>Populácia je odhadovaná v súčasnosti na 5 až 10 jedincov, postačuje udržanie stavu populácie druhu.</w:t>
            </w:r>
          </w:p>
        </w:tc>
      </w:tr>
      <w:tr w:rsidR="00F10FA7" w:rsidRPr="000C51F5" w14:paraId="07101F54" w14:textId="77777777" w:rsidTr="00142EB6">
        <w:tc>
          <w:tcPr>
            <w:tcW w:w="2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0E2B7" w14:textId="77777777" w:rsidR="00F10FA7" w:rsidRPr="000C51F5" w:rsidRDefault="00F10FA7" w:rsidP="0014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Biotop druhu - potravný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67D50" w14:textId="77777777" w:rsidR="00F10FA7" w:rsidRPr="000C51F5" w:rsidRDefault="00F10FA7" w:rsidP="0014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51F5">
              <w:rPr>
                <w:rFonts w:ascii="Times New Roman" w:hAnsi="Times New Roman" w:cs="Times New Roman"/>
                <w:sz w:val="18"/>
                <w:szCs w:val="18"/>
              </w:rPr>
              <w:t>Výmera v ha</w:t>
            </w:r>
          </w:p>
        </w:tc>
        <w:tc>
          <w:tcPr>
            <w:tcW w:w="1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26990" w14:textId="77777777" w:rsidR="00F10FA7" w:rsidRPr="000C51F5" w:rsidRDefault="00F10FA7" w:rsidP="0014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1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88AC2" w14:textId="77777777" w:rsidR="00F10FA7" w:rsidRPr="000C51F5" w:rsidRDefault="00F10FA7" w:rsidP="0014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Udržaný </w:t>
            </w:r>
            <w:r w:rsidRPr="000C51F5">
              <w:rPr>
                <w:rFonts w:ascii="Times New Roman" w:hAnsi="Times New Roman" w:cs="Times New Roman"/>
                <w:sz w:val="18"/>
                <w:szCs w:val="18"/>
              </w:rPr>
              <w:t>dost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atok vhodných biotopov s dostatkom potravy</w:t>
            </w:r>
            <w:r w:rsidRPr="000C51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0C51F5">
              <w:rPr>
                <w:rFonts w:ascii="Times New Roman" w:hAnsi="Times New Roman" w:cs="Times New Roman"/>
                <w:sz w:val="18"/>
                <w:szCs w:val="18"/>
              </w:rPr>
              <w:t>brehovými porastami, tvorenými mäkkými listnáčmi, najmä topoľmi a vŕbami, resp. prirodzené brehové zárasty.</w:t>
            </w:r>
          </w:p>
        </w:tc>
      </w:tr>
      <w:tr w:rsidR="00F10FA7" w:rsidRPr="000C51F5" w14:paraId="307805C2" w14:textId="77777777" w:rsidTr="00142EB6">
        <w:tc>
          <w:tcPr>
            <w:tcW w:w="2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E8DBE" w14:textId="77777777" w:rsidR="00F10FA7" w:rsidRPr="000C51F5" w:rsidRDefault="00F10FA7" w:rsidP="00142E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Biotop druhu - rozmnožovací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07CA7" w14:textId="77777777" w:rsidR="00F10FA7" w:rsidRPr="000C51F5" w:rsidRDefault="00F10FA7" w:rsidP="0014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Stav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prechrádzok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 hradov (zachovanie) </w:t>
            </w:r>
          </w:p>
        </w:tc>
        <w:tc>
          <w:tcPr>
            <w:tcW w:w="1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AE937" w14:textId="77777777" w:rsidR="00F10FA7" w:rsidRPr="000C51F5" w:rsidRDefault="00F10FA7" w:rsidP="0014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Bez poškodení </w:t>
            </w:r>
          </w:p>
        </w:tc>
        <w:tc>
          <w:tcPr>
            <w:tcW w:w="41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18E97" w14:textId="77777777" w:rsidR="00F10FA7" w:rsidRPr="000C51F5" w:rsidRDefault="00F10FA7" w:rsidP="00142E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 častiach, kde si druh vytvára úkryty za účelom zakladania rodiny, nebudú tieto narúšané a rozoberané.</w:t>
            </w:r>
          </w:p>
        </w:tc>
      </w:tr>
    </w:tbl>
    <w:p w14:paraId="17214764" w14:textId="77777777" w:rsidR="0018574C" w:rsidRDefault="0018574C" w:rsidP="00F10FA7">
      <w:pPr>
        <w:pStyle w:val="Zkladntext"/>
        <w:widowControl w:val="0"/>
        <w:spacing w:after="120"/>
        <w:ind w:left="360" w:hanging="644"/>
        <w:jc w:val="both"/>
      </w:pPr>
      <w:bookmarkStart w:id="1" w:name="_GoBack"/>
      <w:bookmarkEnd w:id="1"/>
    </w:p>
    <w:sectPr w:rsidR="0018574C" w:rsidSect="00C849FA">
      <w:footerReference w:type="default" r:id="rId12"/>
      <w:footerReference w:type="first" r:id="rId13"/>
      <w:pgSz w:w="11907" w:h="16840" w:code="9"/>
      <w:pgMar w:top="1560" w:right="1134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F1980D5" w16cex:dateUtc="2023-08-30T18:58:00Z"/>
  <w16cex:commentExtensible w16cex:durableId="1A4E508C" w16cex:dateUtc="2023-08-30T19:00:00Z"/>
  <w16cex:commentExtensible w16cex:durableId="2C4BC4DD" w16cex:dateUtc="2023-08-30T19:58:00Z"/>
  <w16cex:commentExtensible w16cex:durableId="32EDA649" w16cex:dateUtc="2023-08-30T19:37:00Z"/>
  <w16cex:commentExtensible w16cex:durableId="5169376E" w16cex:dateUtc="2023-08-30T22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72CDA3" w16cid:durableId="5F1980D5"/>
  <w16cid:commentId w16cid:paraId="724CD80B" w16cid:durableId="1A4E508C"/>
  <w16cid:commentId w16cid:paraId="36A60C3D" w16cid:durableId="2C4BC4DD"/>
  <w16cid:commentId w16cid:paraId="635924E8" w16cid:durableId="275F2BE4"/>
  <w16cid:commentId w16cid:paraId="6AB2BC04" w16cid:durableId="32EDA649"/>
  <w16cid:commentId w16cid:paraId="40D55930" w16cid:durableId="275F2BE5"/>
  <w16cid:commentId w16cid:paraId="1DF5C1C0" w16cid:durableId="516937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9F49B" w14:textId="77777777" w:rsidR="000D1DE4" w:rsidRDefault="000D1DE4" w:rsidP="009049B7">
      <w:pPr>
        <w:spacing w:line="240" w:lineRule="auto"/>
      </w:pPr>
      <w:r>
        <w:separator/>
      </w:r>
    </w:p>
  </w:endnote>
  <w:endnote w:type="continuationSeparator" w:id="0">
    <w:p w14:paraId="5D712FFE" w14:textId="77777777" w:rsidR="000D1DE4" w:rsidRDefault="000D1DE4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Italic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650AA39C" w:rsidR="004F250B" w:rsidRDefault="004F250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FA7">
          <w:rPr>
            <w:noProof/>
          </w:rPr>
          <w:t>6</w:t>
        </w:r>
        <w:r>
          <w:fldChar w:fldCharType="end"/>
        </w:r>
      </w:p>
    </w:sdtContent>
  </w:sdt>
  <w:p w14:paraId="7A1C53FF" w14:textId="77777777" w:rsidR="004F250B" w:rsidRDefault="004F250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23A0FD27" w:rsidR="004F250B" w:rsidRDefault="004F250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FA7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4F250B" w:rsidRDefault="004F250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56824" w14:textId="77777777" w:rsidR="000D1DE4" w:rsidRDefault="000D1DE4" w:rsidP="009049B7">
      <w:pPr>
        <w:spacing w:line="240" w:lineRule="auto"/>
      </w:pPr>
      <w:r>
        <w:separator/>
      </w:r>
    </w:p>
  </w:footnote>
  <w:footnote w:type="continuationSeparator" w:id="0">
    <w:p w14:paraId="430A63A5" w14:textId="77777777" w:rsidR="000D1DE4" w:rsidRDefault="000D1DE4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115A"/>
    <w:rsid w:val="00004098"/>
    <w:rsid w:val="000070AE"/>
    <w:rsid w:val="00012C22"/>
    <w:rsid w:val="0002231E"/>
    <w:rsid w:val="00024F35"/>
    <w:rsid w:val="000302C7"/>
    <w:rsid w:val="000308CC"/>
    <w:rsid w:val="00034AE7"/>
    <w:rsid w:val="00041E2F"/>
    <w:rsid w:val="00052428"/>
    <w:rsid w:val="000864BD"/>
    <w:rsid w:val="00086B26"/>
    <w:rsid w:val="00090147"/>
    <w:rsid w:val="000A0F1F"/>
    <w:rsid w:val="000A1347"/>
    <w:rsid w:val="000A53DA"/>
    <w:rsid w:val="000A7B67"/>
    <w:rsid w:val="000B494B"/>
    <w:rsid w:val="000B70F1"/>
    <w:rsid w:val="000C35EE"/>
    <w:rsid w:val="000C7FAA"/>
    <w:rsid w:val="000D1DE4"/>
    <w:rsid w:val="000D3ACB"/>
    <w:rsid w:val="000D4C17"/>
    <w:rsid w:val="000D5621"/>
    <w:rsid w:val="000E5829"/>
    <w:rsid w:val="000F08DC"/>
    <w:rsid w:val="000F140B"/>
    <w:rsid w:val="000F15B6"/>
    <w:rsid w:val="000F4B9F"/>
    <w:rsid w:val="001075EC"/>
    <w:rsid w:val="00107F36"/>
    <w:rsid w:val="001123F2"/>
    <w:rsid w:val="001131E3"/>
    <w:rsid w:val="0011445B"/>
    <w:rsid w:val="001158DE"/>
    <w:rsid w:val="00117C41"/>
    <w:rsid w:val="00122744"/>
    <w:rsid w:val="001258AA"/>
    <w:rsid w:val="00127849"/>
    <w:rsid w:val="00135846"/>
    <w:rsid w:val="00147928"/>
    <w:rsid w:val="00153216"/>
    <w:rsid w:val="001613E9"/>
    <w:rsid w:val="00165F46"/>
    <w:rsid w:val="00166A90"/>
    <w:rsid w:val="001830FE"/>
    <w:rsid w:val="0018574C"/>
    <w:rsid w:val="00186C3C"/>
    <w:rsid w:val="0019363A"/>
    <w:rsid w:val="00195E53"/>
    <w:rsid w:val="001A0A3C"/>
    <w:rsid w:val="001A10C1"/>
    <w:rsid w:val="001A2958"/>
    <w:rsid w:val="001B4A5C"/>
    <w:rsid w:val="001C4290"/>
    <w:rsid w:val="001D05CE"/>
    <w:rsid w:val="001D185A"/>
    <w:rsid w:val="001D51FF"/>
    <w:rsid w:val="001F7DC2"/>
    <w:rsid w:val="00201434"/>
    <w:rsid w:val="002104EF"/>
    <w:rsid w:val="00213E8A"/>
    <w:rsid w:val="002147C9"/>
    <w:rsid w:val="00217CAA"/>
    <w:rsid w:val="002206F9"/>
    <w:rsid w:val="00235BCF"/>
    <w:rsid w:val="002378D2"/>
    <w:rsid w:val="00241989"/>
    <w:rsid w:val="0024653D"/>
    <w:rsid w:val="00247CEF"/>
    <w:rsid w:val="00251485"/>
    <w:rsid w:val="00257424"/>
    <w:rsid w:val="00260D76"/>
    <w:rsid w:val="002716FE"/>
    <w:rsid w:val="00274620"/>
    <w:rsid w:val="002822A5"/>
    <w:rsid w:val="00286C9F"/>
    <w:rsid w:val="0029101B"/>
    <w:rsid w:val="00291970"/>
    <w:rsid w:val="00294945"/>
    <w:rsid w:val="002B384F"/>
    <w:rsid w:val="002B3C46"/>
    <w:rsid w:val="002D10DC"/>
    <w:rsid w:val="002D311A"/>
    <w:rsid w:val="002F0FBE"/>
    <w:rsid w:val="002F2ED0"/>
    <w:rsid w:val="002F7BBC"/>
    <w:rsid w:val="0031424B"/>
    <w:rsid w:val="003302C8"/>
    <w:rsid w:val="00334DB2"/>
    <w:rsid w:val="00342CE7"/>
    <w:rsid w:val="00344403"/>
    <w:rsid w:val="00346369"/>
    <w:rsid w:val="00354686"/>
    <w:rsid w:val="003564D4"/>
    <w:rsid w:val="00363901"/>
    <w:rsid w:val="00366DB1"/>
    <w:rsid w:val="00371953"/>
    <w:rsid w:val="003776EF"/>
    <w:rsid w:val="00384E08"/>
    <w:rsid w:val="003875AE"/>
    <w:rsid w:val="00393FB3"/>
    <w:rsid w:val="003A3884"/>
    <w:rsid w:val="003B34B6"/>
    <w:rsid w:val="003B552D"/>
    <w:rsid w:val="003C2090"/>
    <w:rsid w:val="003C2459"/>
    <w:rsid w:val="003D3424"/>
    <w:rsid w:val="003E242E"/>
    <w:rsid w:val="003E35AA"/>
    <w:rsid w:val="003F5218"/>
    <w:rsid w:val="003F71B7"/>
    <w:rsid w:val="00402048"/>
    <w:rsid w:val="00403089"/>
    <w:rsid w:val="00410136"/>
    <w:rsid w:val="00410FDB"/>
    <w:rsid w:val="00421F75"/>
    <w:rsid w:val="004234CB"/>
    <w:rsid w:val="004323A7"/>
    <w:rsid w:val="00437F58"/>
    <w:rsid w:val="004451BC"/>
    <w:rsid w:val="004451E9"/>
    <w:rsid w:val="004502A3"/>
    <w:rsid w:val="00455620"/>
    <w:rsid w:val="00456CE2"/>
    <w:rsid w:val="00457868"/>
    <w:rsid w:val="00460393"/>
    <w:rsid w:val="0046690B"/>
    <w:rsid w:val="0047109F"/>
    <w:rsid w:val="004767B7"/>
    <w:rsid w:val="00485650"/>
    <w:rsid w:val="0048574A"/>
    <w:rsid w:val="00493071"/>
    <w:rsid w:val="004969DA"/>
    <w:rsid w:val="004B4835"/>
    <w:rsid w:val="004B59B0"/>
    <w:rsid w:val="004C0983"/>
    <w:rsid w:val="004C1BD8"/>
    <w:rsid w:val="004C5D19"/>
    <w:rsid w:val="004D1E90"/>
    <w:rsid w:val="004D20C8"/>
    <w:rsid w:val="004D43FA"/>
    <w:rsid w:val="004E6C10"/>
    <w:rsid w:val="004F232E"/>
    <w:rsid w:val="004F250B"/>
    <w:rsid w:val="004F6CBA"/>
    <w:rsid w:val="005007DD"/>
    <w:rsid w:val="00506BD5"/>
    <w:rsid w:val="0051014A"/>
    <w:rsid w:val="00513910"/>
    <w:rsid w:val="005147B4"/>
    <w:rsid w:val="00525E45"/>
    <w:rsid w:val="00552897"/>
    <w:rsid w:val="00553C56"/>
    <w:rsid w:val="00554EC2"/>
    <w:rsid w:val="00555FDD"/>
    <w:rsid w:val="00567493"/>
    <w:rsid w:val="00567BE6"/>
    <w:rsid w:val="005724CD"/>
    <w:rsid w:val="00576006"/>
    <w:rsid w:val="00582857"/>
    <w:rsid w:val="005835E4"/>
    <w:rsid w:val="0058523C"/>
    <w:rsid w:val="00586551"/>
    <w:rsid w:val="005A2491"/>
    <w:rsid w:val="005A3D0C"/>
    <w:rsid w:val="005A3E44"/>
    <w:rsid w:val="005B0663"/>
    <w:rsid w:val="005B7DA8"/>
    <w:rsid w:val="005B7E96"/>
    <w:rsid w:val="005C1397"/>
    <w:rsid w:val="005C5A74"/>
    <w:rsid w:val="005C62DA"/>
    <w:rsid w:val="005D344E"/>
    <w:rsid w:val="005D44B7"/>
    <w:rsid w:val="005E0AC7"/>
    <w:rsid w:val="00611F7B"/>
    <w:rsid w:val="00613454"/>
    <w:rsid w:val="00622104"/>
    <w:rsid w:val="00626A09"/>
    <w:rsid w:val="0062795D"/>
    <w:rsid w:val="0064147B"/>
    <w:rsid w:val="00645F5F"/>
    <w:rsid w:val="00652933"/>
    <w:rsid w:val="00653B45"/>
    <w:rsid w:val="0065788F"/>
    <w:rsid w:val="0066146B"/>
    <w:rsid w:val="00672750"/>
    <w:rsid w:val="00680239"/>
    <w:rsid w:val="00686099"/>
    <w:rsid w:val="0069367E"/>
    <w:rsid w:val="00694012"/>
    <w:rsid w:val="00694858"/>
    <w:rsid w:val="00697F82"/>
    <w:rsid w:val="006A7FF1"/>
    <w:rsid w:val="006B1634"/>
    <w:rsid w:val="006C0E08"/>
    <w:rsid w:val="006C2733"/>
    <w:rsid w:val="006D5E23"/>
    <w:rsid w:val="006E1AFD"/>
    <w:rsid w:val="006E2639"/>
    <w:rsid w:val="006F73B0"/>
    <w:rsid w:val="007015D4"/>
    <w:rsid w:val="00707499"/>
    <w:rsid w:val="00722E6A"/>
    <w:rsid w:val="00727610"/>
    <w:rsid w:val="00731313"/>
    <w:rsid w:val="00731CAD"/>
    <w:rsid w:val="00735411"/>
    <w:rsid w:val="00741E42"/>
    <w:rsid w:val="00754EA8"/>
    <w:rsid w:val="00754F13"/>
    <w:rsid w:val="007657C5"/>
    <w:rsid w:val="00765811"/>
    <w:rsid w:val="00767DD6"/>
    <w:rsid w:val="00775056"/>
    <w:rsid w:val="00776247"/>
    <w:rsid w:val="007823C5"/>
    <w:rsid w:val="00791978"/>
    <w:rsid w:val="007920A8"/>
    <w:rsid w:val="00796656"/>
    <w:rsid w:val="007B1022"/>
    <w:rsid w:val="007B1AD9"/>
    <w:rsid w:val="007B4FB4"/>
    <w:rsid w:val="007C1A4C"/>
    <w:rsid w:val="007C5978"/>
    <w:rsid w:val="007D40A6"/>
    <w:rsid w:val="007D40D2"/>
    <w:rsid w:val="007D4A48"/>
    <w:rsid w:val="007D632D"/>
    <w:rsid w:val="007E459E"/>
    <w:rsid w:val="007F7A92"/>
    <w:rsid w:val="008011A7"/>
    <w:rsid w:val="00802A9C"/>
    <w:rsid w:val="00807BA2"/>
    <w:rsid w:val="00813456"/>
    <w:rsid w:val="00820F3F"/>
    <w:rsid w:val="0082510D"/>
    <w:rsid w:val="008341E1"/>
    <w:rsid w:val="008343C9"/>
    <w:rsid w:val="00836ADE"/>
    <w:rsid w:val="0084404D"/>
    <w:rsid w:val="008451CF"/>
    <w:rsid w:val="008606FF"/>
    <w:rsid w:val="00867CB1"/>
    <w:rsid w:val="00872553"/>
    <w:rsid w:val="00887101"/>
    <w:rsid w:val="00887522"/>
    <w:rsid w:val="00891E37"/>
    <w:rsid w:val="00891FD6"/>
    <w:rsid w:val="008A37C1"/>
    <w:rsid w:val="008B115B"/>
    <w:rsid w:val="008B352B"/>
    <w:rsid w:val="008B531A"/>
    <w:rsid w:val="008C70AE"/>
    <w:rsid w:val="008C7D99"/>
    <w:rsid w:val="008E014A"/>
    <w:rsid w:val="008E1527"/>
    <w:rsid w:val="008F26C1"/>
    <w:rsid w:val="00902554"/>
    <w:rsid w:val="009049B7"/>
    <w:rsid w:val="00912626"/>
    <w:rsid w:val="00920153"/>
    <w:rsid w:val="009205D3"/>
    <w:rsid w:val="009473DF"/>
    <w:rsid w:val="00947B1E"/>
    <w:rsid w:val="00951614"/>
    <w:rsid w:val="009571F2"/>
    <w:rsid w:val="009614A8"/>
    <w:rsid w:val="00961F3E"/>
    <w:rsid w:val="00962279"/>
    <w:rsid w:val="009771DF"/>
    <w:rsid w:val="00980D18"/>
    <w:rsid w:val="0098138C"/>
    <w:rsid w:val="00987B7C"/>
    <w:rsid w:val="00990354"/>
    <w:rsid w:val="009947E2"/>
    <w:rsid w:val="009A5B90"/>
    <w:rsid w:val="009B0621"/>
    <w:rsid w:val="009B5878"/>
    <w:rsid w:val="009B7A4C"/>
    <w:rsid w:val="009B7E2B"/>
    <w:rsid w:val="009C53B8"/>
    <w:rsid w:val="009E02C4"/>
    <w:rsid w:val="009E03C2"/>
    <w:rsid w:val="009F115E"/>
    <w:rsid w:val="00A00787"/>
    <w:rsid w:val="00A1487C"/>
    <w:rsid w:val="00A156DD"/>
    <w:rsid w:val="00A22209"/>
    <w:rsid w:val="00A455BC"/>
    <w:rsid w:val="00A67AAE"/>
    <w:rsid w:val="00AA06A1"/>
    <w:rsid w:val="00AA7ABF"/>
    <w:rsid w:val="00AC1A64"/>
    <w:rsid w:val="00AC2AC0"/>
    <w:rsid w:val="00AC77FB"/>
    <w:rsid w:val="00AD0193"/>
    <w:rsid w:val="00AE0B49"/>
    <w:rsid w:val="00AE4272"/>
    <w:rsid w:val="00AE6C2D"/>
    <w:rsid w:val="00AE77E1"/>
    <w:rsid w:val="00AF3064"/>
    <w:rsid w:val="00AF498E"/>
    <w:rsid w:val="00AF508B"/>
    <w:rsid w:val="00AF5EF4"/>
    <w:rsid w:val="00B02BEF"/>
    <w:rsid w:val="00B035A7"/>
    <w:rsid w:val="00B07878"/>
    <w:rsid w:val="00B13020"/>
    <w:rsid w:val="00B14339"/>
    <w:rsid w:val="00B14E7C"/>
    <w:rsid w:val="00B211F8"/>
    <w:rsid w:val="00B31B3C"/>
    <w:rsid w:val="00B37AB8"/>
    <w:rsid w:val="00B668A7"/>
    <w:rsid w:val="00B83296"/>
    <w:rsid w:val="00B856A2"/>
    <w:rsid w:val="00B960E4"/>
    <w:rsid w:val="00B9721E"/>
    <w:rsid w:val="00BA15D7"/>
    <w:rsid w:val="00BA5A56"/>
    <w:rsid w:val="00BB3162"/>
    <w:rsid w:val="00BB45FE"/>
    <w:rsid w:val="00BB4BFD"/>
    <w:rsid w:val="00BB6404"/>
    <w:rsid w:val="00BC1AA8"/>
    <w:rsid w:val="00BC2408"/>
    <w:rsid w:val="00BC7E07"/>
    <w:rsid w:val="00BD1FCF"/>
    <w:rsid w:val="00BD6C68"/>
    <w:rsid w:val="00BE3E35"/>
    <w:rsid w:val="00BF167C"/>
    <w:rsid w:val="00C01360"/>
    <w:rsid w:val="00C04BBF"/>
    <w:rsid w:val="00C10D28"/>
    <w:rsid w:val="00C20D29"/>
    <w:rsid w:val="00C31382"/>
    <w:rsid w:val="00C329BB"/>
    <w:rsid w:val="00C36ADC"/>
    <w:rsid w:val="00C41BF5"/>
    <w:rsid w:val="00C448C0"/>
    <w:rsid w:val="00C5187F"/>
    <w:rsid w:val="00C60C78"/>
    <w:rsid w:val="00C64382"/>
    <w:rsid w:val="00C7220F"/>
    <w:rsid w:val="00C76ED1"/>
    <w:rsid w:val="00C80345"/>
    <w:rsid w:val="00C80ABC"/>
    <w:rsid w:val="00C81188"/>
    <w:rsid w:val="00C82B3E"/>
    <w:rsid w:val="00C849FA"/>
    <w:rsid w:val="00C94B05"/>
    <w:rsid w:val="00CA01FC"/>
    <w:rsid w:val="00CA1666"/>
    <w:rsid w:val="00CC031A"/>
    <w:rsid w:val="00CC34CB"/>
    <w:rsid w:val="00CC48FB"/>
    <w:rsid w:val="00CD77DC"/>
    <w:rsid w:val="00CE2A31"/>
    <w:rsid w:val="00CF3AB6"/>
    <w:rsid w:val="00CF3E6A"/>
    <w:rsid w:val="00CF57E4"/>
    <w:rsid w:val="00D029EB"/>
    <w:rsid w:val="00D11D5A"/>
    <w:rsid w:val="00D12282"/>
    <w:rsid w:val="00D23E77"/>
    <w:rsid w:val="00D33C1D"/>
    <w:rsid w:val="00D3463D"/>
    <w:rsid w:val="00D42108"/>
    <w:rsid w:val="00D63747"/>
    <w:rsid w:val="00D67A86"/>
    <w:rsid w:val="00D71C47"/>
    <w:rsid w:val="00D74DEC"/>
    <w:rsid w:val="00D830B0"/>
    <w:rsid w:val="00D92646"/>
    <w:rsid w:val="00DA527B"/>
    <w:rsid w:val="00DA5BD4"/>
    <w:rsid w:val="00DC071D"/>
    <w:rsid w:val="00DC3906"/>
    <w:rsid w:val="00DC4EAA"/>
    <w:rsid w:val="00DC746C"/>
    <w:rsid w:val="00DD7BDA"/>
    <w:rsid w:val="00DE13DB"/>
    <w:rsid w:val="00DE7AB1"/>
    <w:rsid w:val="00DF58DF"/>
    <w:rsid w:val="00DF67B7"/>
    <w:rsid w:val="00E07FF1"/>
    <w:rsid w:val="00E12770"/>
    <w:rsid w:val="00E1627A"/>
    <w:rsid w:val="00E316BD"/>
    <w:rsid w:val="00E328AF"/>
    <w:rsid w:val="00E362B4"/>
    <w:rsid w:val="00E4112D"/>
    <w:rsid w:val="00E454AF"/>
    <w:rsid w:val="00E50C62"/>
    <w:rsid w:val="00E55206"/>
    <w:rsid w:val="00E61890"/>
    <w:rsid w:val="00E726B7"/>
    <w:rsid w:val="00E72E84"/>
    <w:rsid w:val="00E76188"/>
    <w:rsid w:val="00E846AE"/>
    <w:rsid w:val="00E848FB"/>
    <w:rsid w:val="00E87D9E"/>
    <w:rsid w:val="00E93C91"/>
    <w:rsid w:val="00EA4664"/>
    <w:rsid w:val="00EA781E"/>
    <w:rsid w:val="00EB1BEA"/>
    <w:rsid w:val="00EC667E"/>
    <w:rsid w:val="00ED2F91"/>
    <w:rsid w:val="00ED427A"/>
    <w:rsid w:val="00EF2001"/>
    <w:rsid w:val="00EF21AA"/>
    <w:rsid w:val="00F031B8"/>
    <w:rsid w:val="00F10FA7"/>
    <w:rsid w:val="00F133CE"/>
    <w:rsid w:val="00F17982"/>
    <w:rsid w:val="00F208ED"/>
    <w:rsid w:val="00F30AFA"/>
    <w:rsid w:val="00F30F71"/>
    <w:rsid w:val="00F3116E"/>
    <w:rsid w:val="00F324CB"/>
    <w:rsid w:val="00F363B6"/>
    <w:rsid w:val="00F410A3"/>
    <w:rsid w:val="00F43BA5"/>
    <w:rsid w:val="00F44D3E"/>
    <w:rsid w:val="00F4756C"/>
    <w:rsid w:val="00F56C80"/>
    <w:rsid w:val="00F6748C"/>
    <w:rsid w:val="00F762FE"/>
    <w:rsid w:val="00F91212"/>
    <w:rsid w:val="00F9241D"/>
    <w:rsid w:val="00F9346A"/>
    <w:rsid w:val="00F94E96"/>
    <w:rsid w:val="00F9735A"/>
    <w:rsid w:val="00FA021F"/>
    <w:rsid w:val="00FA18DF"/>
    <w:rsid w:val="00FA66FD"/>
    <w:rsid w:val="00FB163C"/>
    <w:rsid w:val="00FB34EF"/>
    <w:rsid w:val="00FD64EA"/>
    <w:rsid w:val="00FD7F4A"/>
    <w:rsid w:val="00FE0DD9"/>
    <w:rsid w:val="00FE454A"/>
    <w:rsid w:val="00FE4C52"/>
    <w:rsid w:val="00FE5860"/>
    <w:rsid w:val="00FE630E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  <w:style w:type="character" w:customStyle="1" w:styleId="fontstyle01">
    <w:name w:val="fontstyle01"/>
    <w:basedOn w:val="Predvolenpsmoodseku"/>
    <w:rsid w:val="00DE7AB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redvolenpsmoodseku"/>
    <w:rsid w:val="00DE7AB1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redvolenpsmoodseku"/>
    <w:rsid w:val="00E55206"/>
    <w:rPr>
      <w:rFonts w:ascii="Arial-ItalicMT" w:hAnsi="Arial-ItalicMT" w:hint="default"/>
      <w:b w:val="0"/>
      <w:bCs w:val="0"/>
      <w:i/>
      <w:iCs/>
      <w:color w:val="49494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mu.sk/File/Hydrologia/Monitoring_PV_PzV/Monitoring_kvality_PV/KvPV_2019/Dunaj_kvalitaPVV_34_Cast%20A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hmu.sk/sk/?page=1&amp;id=kvalita_povrchovych_vo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hmu.sk/File/Hydrologia/Monitoring_PV_PzV/Monitoring_kvality_PV/KvPV_2019/Dunaj_kvalitaPVV_34_Cast%20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mu.sk/File/Hydrologia/Monitoring_PV_PzV/Monitoring_kvality_PV/KvPV_2019/Dunaj_kvalitaPVV_34_Cast%20A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33CFA-D49F-46F8-BD93-0E327F697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2546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17030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3</cp:revision>
  <dcterms:created xsi:type="dcterms:W3CDTF">2024-06-11T11:11:00Z</dcterms:created>
  <dcterms:modified xsi:type="dcterms:W3CDTF">2024-06-11T11:15:00Z</dcterms:modified>
</cp:coreProperties>
</file>