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6A24C535"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93949">
        <w:rPr>
          <w:b/>
          <w:bCs/>
          <w:i w:val="0"/>
          <w:color w:val="auto"/>
          <w:sz w:val="28"/>
          <w:szCs w:val="28"/>
        </w:rPr>
        <w:t>SKUEV</w:t>
      </w:r>
      <w:r w:rsidR="00283BA6">
        <w:rPr>
          <w:b/>
          <w:bCs/>
          <w:i w:val="0"/>
          <w:color w:val="auto"/>
          <w:sz w:val="28"/>
          <w:szCs w:val="28"/>
        </w:rPr>
        <w:t>0</w:t>
      </w:r>
      <w:r w:rsidR="00E93949">
        <w:rPr>
          <w:b/>
          <w:bCs/>
          <w:i w:val="0"/>
          <w:color w:val="auto"/>
          <w:sz w:val="28"/>
          <w:szCs w:val="28"/>
        </w:rPr>
        <w:t>1</w:t>
      </w:r>
      <w:r w:rsidR="0060686A">
        <w:rPr>
          <w:b/>
          <w:bCs/>
          <w:i w:val="0"/>
          <w:color w:val="auto"/>
          <w:sz w:val="28"/>
          <w:szCs w:val="28"/>
        </w:rPr>
        <w:t>3</w:t>
      </w:r>
      <w:r w:rsidR="00283BA6">
        <w:rPr>
          <w:b/>
          <w:bCs/>
          <w:i w:val="0"/>
          <w:color w:val="auto"/>
          <w:sz w:val="28"/>
          <w:szCs w:val="28"/>
        </w:rPr>
        <w:t>2</w:t>
      </w:r>
      <w:r w:rsidRPr="00700F12">
        <w:rPr>
          <w:b/>
          <w:bCs/>
          <w:i w:val="0"/>
          <w:color w:val="auto"/>
          <w:sz w:val="28"/>
          <w:szCs w:val="28"/>
        </w:rPr>
        <w:t xml:space="preserve"> </w:t>
      </w:r>
      <w:r w:rsidR="00283BA6">
        <w:rPr>
          <w:b/>
          <w:bCs/>
          <w:i w:val="0"/>
          <w:color w:val="auto"/>
          <w:sz w:val="28"/>
          <w:szCs w:val="28"/>
        </w:rPr>
        <w:t>Kostolianske lúky</w:t>
      </w:r>
    </w:p>
    <w:p w14:paraId="1FAE835C" w14:textId="04F212A1" w:rsidR="00283BA6" w:rsidRDefault="00283BA6" w:rsidP="00283BA6"/>
    <w:p w14:paraId="38F1C8D9" w14:textId="48AC7436" w:rsidR="0022520E" w:rsidRPr="00B6615B" w:rsidRDefault="0022520E" w:rsidP="0022520E">
      <w:pPr>
        <w:rPr>
          <w:szCs w:val="24"/>
        </w:rPr>
      </w:pPr>
      <w:r>
        <w:rPr>
          <w:szCs w:val="24"/>
        </w:rPr>
        <w:t xml:space="preserve">Zachovanie </w:t>
      </w:r>
      <w:r w:rsidRPr="00B6615B">
        <w:rPr>
          <w:szCs w:val="24"/>
        </w:rPr>
        <w:t xml:space="preserve">stavu </w:t>
      </w:r>
      <w:r w:rsidRPr="00204F8C">
        <w:rPr>
          <w:szCs w:val="24"/>
        </w:rPr>
        <w:t xml:space="preserve">biotopu </w:t>
      </w:r>
      <w:r w:rsidRPr="00204F8C">
        <w:rPr>
          <w:b/>
          <w:szCs w:val="24"/>
        </w:rPr>
        <w:t>Tr1</w:t>
      </w:r>
      <w:r w:rsidR="00AB1EA4">
        <w:rPr>
          <w:b/>
          <w:szCs w:val="24"/>
        </w:rPr>
        <w:t>.1</w:t>
      </w:r>
      <w:r w:rsidRPr="00204F8C">
        <w:rPr>
          <w:b/>
          <w:szCs w:val="24"/>
        </w:rPr>
        <w:t xml:space="preserve"> (6210</w:t>
      </w:r>
      <w:r w:rsidR="00AB1EA4">
        <w:rPr>
          <w:b/>
          <w:szCs w:val="24"/>
        </w:rPr>
        <w:t>*</w:t>
      </w:r>
      <w:r w:rsidRPr="00204F8C">
        <w:rPr>
          <w:b/>
          <w:szCs w:val="24"/>
        </w:rPr>
        <w:t xml:space="preserve">) </w:t>
      </w:r>
      <w:r w:rsidRPr="00204F8C">
        <w:rPr>
          <w:rFonts w:eastAsia="Times New Roman"/>
          <w:b/>
          <w:szCs w:val="24"/>
          <w:lang w:eastAsia="sk-SK"/>
        </w:rPr>
        <w:t>Suchomilné travinno-bylinné a krovinové porasty na vápnitom substráte</w:t>
      </w:r>
      <w:r w:rsidR="00AB1EA4">
        <w:rPr>
          <w:rFonts w:eastAsia="Times New Roman"/>
          <w:b/>
          <w:szCs w:val="24"/>
          <w:lang w:eastAsia="sk-SK"/>
        </w:rPr>
        <w:t xml:space="preserve"> s výskytom druhov čeľade Orchidaceae</w:t>
      </w:r>
      <w:r w:rsidRPr="00204F8C">
        <w:rPr>
          <w:rFonts w:eastAsia="Times New Roman"/>
          <w:b/>
          <w:szCs w:val="24"/>
          <w:lang w:eastAsia="sk-SK"/>
        </w:rPr>
        <w:t xml:space="preserve"> </w:t>
      </w:r>
      <w:r w:rsidRPr="00204F8C">
        <w:rPr>
          <w:rFonts w:eastAsia="Times New Roman"/>
          <w:szCs w:val="24"/>
          <w:lang w:eastAsia="sk-SK"/>
        </w:rPr>
        <w:t>za splnenia nasledovných</w:t>
      </w:r>
      <w:r w:rsidRPr="00B6615B">
        <w:rPr>
          <w:rFonts w:eastAsia="Times New Roman"/>
          <w:szCs w:val="24"/>
          <w:lang w:eastAsia="sk-SK"/>
        </w:rPr>
        <w:t xml:space="preserve">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22520E" w:rsidRPr="00B6615B" w14:paraId="3750F95B" w14:textId="77777777" w:rsidTr="00B760B0">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B309F8"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924078"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FF91B"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485E2"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22520E" w:rsidRPr="00B6615B" w14:paraId="07A9DB95"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AF220"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775D6"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608622" w14:textId="38C6C181" w:rsidR="0022520E" w:rsidRPr="00B6615B" w:rsidRDefault="00283BA6" w:rsidP="00B760B0">
            <w:pPr>
              <w:jc w:val="center"/>
              <w:rPr>
                <w:rFonts w:eastAsia="Times New Roman"/>
                <w:sz w:val="18"/>
                <w:szCs w:val="18"/>
                <w:lang w:eastAsia="sk-SK"/>
              </w:rPr>
            </w:pPr>
            <w:r>
              <w:rPr>
                <w:rFonts w:eastAsia="Times New Roman"/>
                <w:sz w:val="18"/>
                <w:szCs w:val="18"/>
                <w:lang w:eastAsia="sk-SK"/>
              </w:rPr>
              <w:t>2,9</w:t>
            </w:r>
            <w:r w:rsidR="0022520E" w:rsidRPr="00B6615B">
              <w:rPr>
                <w:rFonts w:eastAsia="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695B4"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Min. udržať výmeru biotopu, príp. zvýšiť výmeru.</w:t>
            </w:r>
          </w:p>
        </w:tc>
      </w:tr>
      <w:tr w:rsidR="0022520E" w:rsidRPr="00B6615B" w14:paraId="34BF4747" w14:textId="77777777" w:rsidTr="00B760B0">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997A8"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BC82B"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DB060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3A78A" w14:textId="0E9AF638" w:rsidR="0022520E" w:rsidRPr="00AB1EA4" w:rsidRDefault="0022520E" w:rsidP="00B760B0">
            <w:pPr>
              <w:jc w:val="center"/>
              <w:rPr>
                <w:rFonts w:eastAsia="Times New Roman"/>
                <w:sz w:val="18"/>
                <w:szCs w:val="18"/>
                <w:lang w:eastAsia="sk-SK"/>
              </w:rPr>
            </w:pPr>
            <w:r w:rsidRPr="00AB1EA4">
              <w:rPr>
                <w:rFonts w:eastAsia="Times New Roman"/>
                <w:sz w:val="18"/>
                <w:szCs w:val="18"/>
                <w:lang w:eastAsia="sk-SK"/>
              </w:rPr>
              <w:t xml:space="preserve">Charakteristické/typické druhové zloženie: </w:t>
            </w:r>
            <w:r w:rsidRPr="00AB1EA4">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w:t>
            </w:r>
            <w:r w:rsidR="00F169A9" w:rsidRPr="00AB1EA4">
              <w:rPr>
                <w:rFonts w:eastAsia="Times New Roman"/>
                <w:i/>
                <w:sz w:val="18"/>
                <w:szCs w:val="18"/>
                <w:lang w:eastAsia="sk-SK"/>
              </w:rPr>
              <w:t xml:space="preserve"> Linum austriacum,</w:t>
            </w:r>
            <w:r w:rsidRPr="00AB1EA4">
              <w:rPr>
                <w:rFonts w:eastAsia="Times New Roman"/>
                <w:i/>
                <w:sz w:val="18"/>
                <w:szCs w:val="18"/>
                <w:lang w:eastAsia="sk-SK"/>
              </w:rPr>
              <w:t xml:space="preserve"> Linum catharticum, Ononis spinosa, </w:t>
            </w:r>
            <w:r w:rsidR="00A77C74" w:rsidRPr="00AB1EA4">
              <w:rPr>
                <w:rFonts w:eastAsia="Times New Roman"/>
                <w:i/>
                <w:sz w:val="18"/>
                <w:szCs w:val="18"/>
                <w:lang w:eastAsia="sk-SK"/>
              </w:rPr>
              <w:t xml:space="preserve">Ophrys apifera, </w:t>
            </w:r>
            <w:r w:rsidR="001D4AA1" w:rsidRPr="00AB1EA4">
              <w:rPr>
                <w:rFonts w:eastAsia="Times New Roman"/>
                <w:i/>
                <w:sz w:val="18"/>
                <w:szCs w:val="18"/>
                <w:lang w:eastAsia="sk-SK"/>
              </w:rPr>
              <w:t xml:space="preserve">Orchis morio, </w:t>
            </w:r>
            <w:r w:rsidR="00A77C74" w:rsidRPr="00AB1EA4">
              <w:rPr>
                <w:rFonts w:eastAsia="Times New Roman"/>
                <w:i/>
                <w:sz w:val="18"/>
                <w:szCs w:val="18"/>
                <w:lang w:eastAsia="sk-SK"/>
              </w:rPr>
              <w:t>Orchis purpurea, Orchis tridentata,</w:t>
            </w:r>
            <w:r w:rsidR="001D4AA1" w:rsidRPr="00AB1EA4">
              <w:rPr>
                <w:rFonts w:eastAsia="Times New Roman"/>
                <w:i/>
                <w:sz w:val="18"/>
                <w:szCs w:val="18"/>
                <w:lang w:eastAsia="sk-SK"/>
              </w:rPr>
              <w:t>Orchis ustulata subsp. aestivalis,</w:t>
            </w:r>
            <w:r w:rsidR="00A77C74" w:rsidRPr="00AB1EA4">
              <w:rPr>
                <w:rFonts w:eastAsia="Times New Roman"/>
                <w:i/>
                <w:sz w:val="18"/>
                <w:szCs w:val="18"/>
                <w:lang w:eastAsia="sk-SK"/>
              </w:rPr>
              <w:t xml:space="preserve"> </w:t>
            </w:r>
            <w:r w:rsidRPr="00AB1EA4">
              <w:rPr>
                <w:rFonts w:eastAsia="Times New Roman"/>
                <w:i/>
                <w:sz w:val="18"/>
                <w:szCs w:val="18"/>
                <w:lang w:eastAsia="sk-SK"/>
              </w:rPr>
              <w:t xml:space="preserve">Phleum phleoides, </w:t>
            </w:r>
            <w:r w:rsidR="00724352" w:rsidRPr="00AB1EA4">
              <w:rPr>
                <w:rFonts w:eastAsia="Times New Roman"/>
                <w:i/>
                <w:sz w:val="18"/>
                <w:szCs w:val="18"/>
                <w:lang w:eastAsia="sk-SK"/>
              </w:rPr>
              <w:t xml:space="preserve">Pilosella bauhinii, </w:t>
            </w:r>
            <w:r w:rsidRPr="00AB1EA4">
              <w:rPr>
                <w:rFonts w:eastAsia="Times New Roman"/>
                <w:i/>
                <w:sz w:val="18"/>
                <w:szCs w:val="18"/>
                <w:lang w:eastAsia="sk-SK"/>
              </w:rPr>
              <w:t>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22520E" w:rsidRPr="00B6615B" w14:paraId="2B8D83E9"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E493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C3F7E"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C7D32"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BB863" w14:textId="77777777" w:rsidR="0022520E" w:rsidRPr="00B6615B" w:rsidRDefault="0022520E" w:rsidP="00B760B0">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22520E" w:rsidRPr="00B6615B" w14:paraId="74A5A957" w14:textId="77777777" w:rsidTr="00B760B0">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A423B"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BC14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538828"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9B30A2" w14:textId="77777777" w:rsidR="0022520E" w:rsidRPr="00B6615B" w:rsidRDefault="0022520E" w:rsidP="00B760B0">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125E5D6D" w14:textId="272431D5" w:rsidR="0022520E" w:rsidRDefault="0022520E" w:rsidP="0022520E">
      <w:pPr>
        <w:rPr>
          <w:color w:val="000000"/>
          <w:szCs w:val="24"/>
        </w:rPr>
      </w:pPr>
    </w:p>
    <w:p w14:paraId="1DF85084" w14:textId="77777777" w:rsidR="00283BA6" w:rsidRPr="00FA68E1" w:rsidRDefault="00283BA6" w:rsidP="00283BA6">
      <w:pPr>
        <w:rPr>
          <w:color w:val="000000"/>
          <w:szCs w:val="24"/>
        </w:rPr>
      </w:pPr>
      <w:r w:rsidRPr="00BA1742">
        <w:rPr>
          <w:color w:val="000000"/>
          <w:szCs w:val="24"/>
        </w:rPr>
        <w:t xml:space="preserve">Zachovanie stavu biotopu </w:t>
      </w:r>
      <w:r w:rsidRPr="00BA1742">
        <w:rPr>
          <w:b/>
          <w:color w:val="000000"/>
          <w:szCs w:val="24"/>
        </w:rPr>
        <w:t xml:space="preserve">Kr6 (40A0*) Xerotermné kroviny </w:t>
      </w:r>
      <w:r w:rsidRPr="00BA1742">
        <w:rPr>
          <w:color w:val="000000"/>
          <w:szCs w:val="24"/>
        </w:rPr>
        <w:t>za splnenia nasledovných atribútov:</w:t>
      </w:r>
      <w:r w:rsidRPr="00FA68E1">
        <w:rPr>
          <w:color w:val="000000"/>
          <w:szCs w:val="24"/>
        </w:rPr>
        <w:t xml:space="preserve">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7"/>
      </w:tblGrid>
      <w:tr w:rsidR="00283BA6" w:rsidRPr="00FA68E1" w14:paraId="5F3955CB" w14:textId="77777777" w:rsidTr="00B760B0">
        <w:trPr>
          <w:trHeight w:val="705"/>
        </w:trPr>
        <w:tc>
          <w:tcPr>
            <w:tcW w:w="1702" w:type="dxa"/>
            <w:shd w:val="clear" w:color="auto" w:fill="FFFFFF"/>
            <w:hideMark/>
          </w:tcPr>
          <w:p w14:paraId="5A3595D8" w14:textId="77777777" w:rsidR="00283BA6" w:rsidRPr="00FA68E1" w:rsidRDefault="00283BA6" w:rsidP="00B760B0">
            <w:pPr>
              <w:rPr>
                <w:rFonts w:eastAsia="Times New Roman"/>
                <w:b/>
                <w:color w:val="000000"/>
                <w:sz w:val="20"/>
                <w:szCs w:val="20"/>
                <w:u w:val="single"/>
                <w:lang w:eastAsia="sk-SK"/>
              </w:rPr>
            </w:pPr>
            <w:r w:rsidRPr="00FA68E1">
              <w:rPr>
                <w:b/>
                <w:color w:val="000000"/>
                <w:sz w:val="20"/>
                <w:szCs w:val="20"/>
              </w:rPr>
              <w:t>Parameter</w:t>
            </w:r>
          </w:p>
        </w:tc>
        <w:tc>
          <w:tcPr>
            <w:tcW w:w="1276" w:type="dxa"/>
            <w:shd w:val="clear" w:color="auto" w:fill="FFFFFF"/>
            <w:hideMark/>
          </w:tcPr>
          <w:p w14:paraId="54C25AA8" w14:textId="77777777" w:rsidR="00283BA6" w:rsidRPr="00FA68E1" w:rsidRDefault="00283BA6" w:rsidP="00B760B0">
            <w:pPr>
              <w:rPr>
                <w:rFonts w:eastAsia="Times New Roman"/>
                <w:b/>
                <w:color w:val="000000"/>
                <w:sz w:val="20"/>
                <w:szCs w:val="20"/>
                <w:u w:val="single"/>
                <w:lang w:eastAsia="sk-SK"/>
              </w:rPr>
            </w:pPr>
            <w:r w:rsidRPr="00FA68E1">
              <w:rPr>
                <w:b/>
                <w:color w:val="000000"/>
                <w:sz w:val="20"/>
                <w:szCs w:val="20"/>
              </w:rPr>
              <w:t>Merateľný indikátor</w:t>
            </w:r>
          </w:p>
        </w:tc>
        <w:tc>
          <w:tcPr>
            <w:tcW w:w="1417" w:type="dxa"/>
            <w:shd w:val="clear" w:color="auto" w:fill="FFFFFF"/>
            <w:hideMark/>
          </w:tcPr>
          <w:p w14:paraId="3F1CBB0B" w14:textId="77777777" w:rsidR="00283BA6" w:rsidRPr="00FA68E1" w:rsidRDefault="00283BA6" w:rsidP="00B760B0">
            <w:pPr>
              <w:jc w:val="center"/>
              <w:rPr>
                <w:rFonts w:eastAsia="Times New Roman"/>
                <w:b/>
                <w:color w:val="000000"/>
                <w:sz w:val="20"/>
                <w:szCs w:val="20"/>
                <w:u w:val="single"/>
                <w:lang w:eastAsia="sk-SK"/>
              </w:rPr>
            </w:pPr>
            <w:r w:rsidRPr="00FA68E1">
              <w:rPr>
                <w:b/>
                <w:color w:val="000000"/>
                <w:sz w:val="20"/>
                <w:szCs w:val="20"/>
              </w:rPr>
              <w:t>Cieľová hodnota</w:t>
            </w:r>
          </w:p>
        </w:tc>
        <w:tc>
          <w:tcPr>
            <w:tcW w:w="5247" w:type="dxa"/>
            <w:shd w:val="clear" w:color="auto" w:fill="FFFFFF"/>
            <w:hideMark/>
          </w:tcPr>
          <w:p w14:paraId="4C4070EF" w14:textId="77777777" w:rsidR="00283BA6" w:rsidRPr="00FA68E1" w:rsidRDefault="00283BA6" w:rsidP="00B760B0">
            <w:pPr>
              <w:rPr>
                <w:rFonts w:eastAsia="Times New Roman"/>
                <w:b/>
                <w:color w:val="000000"/>
                <w:sz w:val="20"/>
                <w:szCs w:val="20"/>
                <w:u w:val="single"/>
                <w:lang w:eastAsia="sk-SK"/>
              </w:rPr>
            </w:pPr>
            <w:r w:rsidRPr="00FA68E1">
              <w:rPr>
                <w:b/>
                <w:color w:val="000000"/>
                <w:sz w:val="20"/>
                <w:szCs w:val="20"/>
              </w:rPr>
              <w:t>Poznámky/Doplňujúce informácie</w:t>
            </w:r>
          </w:p>
        </w:tc>
      </w:tr>
      <w:tr w:rsidR="00283BA6" w:rsidRPr="00FA68E1" w14:paraId="0B9EBF79" w14:textId="77777777" w:rsidTr="00B760B0">
        <w:trPr>
          <w:trHeight w:val="290"/>
        </w:trPr>
        <w:tc>
          <w:tcPr>
            <w:tcW w:w="1702" w:type="dxa"/>
            <w:shd w:val="clear" w:color="auto" w:fill="FFFFFF"/>
            <w:vAlign w:val="bottom"/>
            <w:hideMark/>
          </w:tcPr>
          <w:p w14:paraId="359D25D6"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276" w:type="dxa"/>
            <w:shd w:val="clear" w:color="auto" w:fill="FFFFFF"/>
            <w:vAlign w:val="bottom"/>
            <w:hideMark/>
          </w:tcPr>
          <w:p w14:paraId="68C15B75"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1417" w:type="dxa"/>
            <w:shd w:val="clear" w:color="auto" w:fill="FFFFFF"/>
            <w:vAlign w:val="bottom"/>
          </w:tcPr>
          <w:p w14:paraId="5CDE73BD" w14:textId="192795AA" w:rsidR="00283BA6" w:rsidRPr="00AB1EA4" w:rsidRDefault="00BA1742" w:rsidP="00B760B0">
            <w:pPr>
              <w:jc w:val="center"/>
              <w:rPr>
                <w:rFonts w:eastAsia="Times New Roman"/>
                <w:sz w:val="20"/>
                <w:szCs w:val="20"/>
                <w:lang w:eastAsia="sk-SK"/>
              </w:rPr>
            </w:pPr>
            <w:r w:rsidRPr="00AB1EA4">
              <w:rPr>
                <w:rFonts w:eastAsia="Times New Roman"/>
                <w:sz w:val="20"/>
                <w:szCs w:val="20"/>
                <w:lang w:eastAsia="sk-SK"/>
              </w:rPr>
              <w:t>0,16</w:t>
            </w:r>
          </w:p>
        </w:tc>
        <w:tc>
          <w:tcPr>
            <w:tcW w:w="5247" w:type="dxa"/>
            <w:shd w:val="clear" w:color="auto" w:fill="FFFFFF"/>
            <w:vAlign w:val="bottom"/>
            <w:hideMark/>
          </w:tcPr>
          <w:p w14:paraId="5D0B0A80" w14:textId="3343579F" w:rsidR="00283BA6" w:rsidRPr="00AB1EA4" w:rsidRDefault="00283BA6" w:rsidP="00B760B0">
            <w:pPr>
              <w:rPr>
                <w:rFonts w:eastAsia="Times New Roman"/>
                <w:sz w:val="20"/>
                <w:szCs w:val="20"/>
                <w:lang w:eastAsia="sk-SK"/>
              </w:rPr>
            </w:pPr>
            <w:r w:rsidRPr="00AB1EA4">
              <w:rPr>
                <w:rFonts w:eastAsia="Times New Roman"/>
                <w:sz w:val="20"/>
                <w:szCs w:val="20"/>
                <w:lang w:eastAsia="sk-SK"/>
              </w:rPr>
              <w:t>U</w:t>
            </w:r>
            <w:r w:rsidR="00AB1EA4" w:rsidRPr="00AB1EA4">
              <w:rPr>
                <w:rFonts w:eastAsia="Times New Roman"/>
                <w:sz w:val="20"/>
                <w:szCs w:val="20"/>
                <w:lang w:eastAsia="sk-SK"/>
              </w:rPr>
              <w:t>držať existujúcu výmeru biotopu, jej zvýšenie by bolo na úkor biotopu Tr1.1</w:t>
            </w:r>
          </w:p>
        </w:tc>
      </w:tr>
      <w:tr w:rsidR="00283BA6" w:rsidRPr="00FA68E1" w14:paraId="20C7064D" w14:textId="77777777" w:rsidTr="00B760B0">
        <w:trPr>
          <w:trHeight w:val="699"/>
        </w:trPr>
        <w:tc>
          <w:tcPr>
            <w:tcW w:w="1702" w:type="dxa"/>
            <w:shd w:val="clear" w:color="auto" w:fill="FFFFFF"/>
            <w:vAlign w:val="center"/>
            <w:hideMark/>
          </w:tcPr>
          <w:p w14:paraId="642438CE"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276" w:type="dxa"/>
            <w:shd w:val="clear" w:color="auto" w:fill="FFFFFF"/>
            <w:vAlign w:val="center"/>
            <w:hideMark/>
          </w:tcPr>
          <w:p w14:paraId="5CA42B59"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počet druhov/16 m</w:t>
            </w:r>
            <w:r w:rsidRPr="00FA68E1">
              <w:rPr>
                <w:rFonts w:eastAsia="Times New Roman"/>
                <w:color w:val="000000"/>
                <w:sz w:val="20"/>
                <w:szCs w:val="20"/>
                <w:vertAlign w:val="superscript"/>
                <w:lang w:eastAsia="sk-SK"/>
              </w:rPr>
              <w:t>2</w:t>
            </w:r>
          </w:p>
        </w:tc>
        <w:tc>
          <w:tcPr>
            <w:tcW w:w="1417" w:type="dxa"/>
            <w:shd w:val="clear" w:color="auto" w:fill="FFFFFF"/>
            <w:vAlign w:val="center"/>
            <w:hideMark/>
          </w:tcPr>
          <w:p w14:paraId="211FE07B" w14:textId="77777777" w:rsidR="00283BA6" w:rsidRPr="00AB1EA4" w:rsidRDefault="00283BA6" w:rsidP="00B760B0">
            <w:pPr>
              <w:rPr>
                <w:rFonts w:eastAsia="Times New Roman"/>
                <w:sz w:val="20"/>
                <w:szCs w:val="20"/>
                <w:lang w:eastAsia="sk-SK"/>
              </w:rPr>
            </w:pPr>
            <w:r w:rsidRPr="00AB1EA4">
              <w:rPr>
                <w:rFonts w:eastAsia="Times New Roman"/>
                <w:sz w:val="20"/>
                <w:szCs w:val="20"/>
                <w:lang w:eastAsia="sk-SK"/>
              </w:rPr>
              <w:t>najmenej 5 druhov</w:t>
            </w:r>
          </w:p>
        </w:tc>
        <w:tc>
          <w:tcPr>
            <w:tcW w:w="5247" w:type="dxa"/>
            <w:shd w:val="clear" w:color="auto" w:fill="FFFFFF"/>
            <w:vAlign w:val="center"/>
            <w:hideMark/>
          </w:tcPr>
          <w:p w14:paraId="5EF39EC8" w14:textId="77777777" w:rsidR="00283BA6" w:rsidRPr="00AB1EA4" w:rsidRDefault="00283BA6" w:rsidP="00B760B0">
            <w:pPr>
              <w:rPr>
                <w:rFonts w:eastAsia="Times New Roman"/>
                <w:i/>
                <w:sz w:val="20"/>
                <w:szCs w:val="20"/>
                <w:lang w:eastAsia="sk-SK"/>
              </w:rPr>
            </w:pPr>
            <w:r w:rsidRPr="00AB1EA4">
              <w:rPr>
                <w:rFonts w:eastAsia="Times New Roman"/>
                <w:sz w:val="20"/>
                <w:szCs w:val="20"/>
                <w:lang w:eastAsia="sk-SK"/>
              </w:rPr>
              <w:t xml:space="preserve">Charakteristické/typické druhové zloženie: </w:t>
            </w:r>
            <w:r w:rsidRPr="00AB1EA4">
              <w:rPr>
                <w:rFonts w:eastAsia="Times New Roman"/>
                <w:i/>
                <w:sz w:val="20"/>
                <w:szCs w:val="20"/>
                <w:lang w:eastAsia="sk-SK"/>
              </w:rPr>
              <w:t xml:space="preserve"> </w:t>
            </w:r>
          </w:p>
          <w:p w14:paraId="431F3F2A" w14:textId="76F16016" w:rsidR="00283BA6" w:rsidRPr="00AB1EA4" w:rsidRDefault="00512372" w:rsidP="005733BA">
            <w:pPr>
              <w:rPr>
                <w:rFonts w:eastAsia="Times New Roman"/>
                <w:sz w:val="20"/>
                <w:szCs w:val="20"/>
                <w:lang w:eastAsia="sk-SK"/>
              </w:rPr>
            </w:pPr>
            <w:r w:rsidRPr="00AB1EA4">
              <w:rPr>
                <w:i/>
                <w:iCs/>
                <w:sz w:val="20"/>
                <w:szCs w:val="20"/>
              </w:rPr>
              <w:t xml:space="preserve">Aconitum anthora, </w:t>
            </w:r>
            <w:r w:rsidRPr="00AB1EA4">
              <w:rPr>
                <w:i/>
                <w:sz w:val="20"/>
                <w:szCs w:val="20"/>
              </w:rPr>
              <w:t xml:space="preserve">Arabis turrita, </w:t>
            </w:r>
            <w:r w:rsidRPr="00AB1EA4">
              <w:rPr>
                <w:i/>
                <w:iCs/>
                <w:sz w:val="20"/>
                <w:szCs w:val="20"/>
              </w:rPr>
              <w:t xml:space="preserve">Carex humilis, </w:t>
            </w:r>
            <w:r w:rsidRPr="00AB1EA4">
              <w:rPr>
                <w:i/>
                <w:sz w:val="20"/>
                <w:szCs w:val="20"/>
              </w:rPr>
              <w:t xml:space="preserve">mas, </w:t>
            </w:r>
            <w:r w:rsidRPr="00AB1EA4">
              <w:rPr>
                <w:i/>
                <w:iCs/>
                <w:sz w:val="20"/>
                <w:szCs w:val="20"/>
              </w:rPr>
              <w:t xml:space="preserve">Crataegus monogyna, Cyanus triumfettii, </w:t>
            </w:r>
            <w:r w:rsidRPr="00AB1EA4">
              <w:rPr>
                <w:i/>
                <w:sz w:val="20"/>
                <w:szCs w:val="20"/>
              </w:rPr>
              <w:t xml:space="preserve">Euonymus verrucosus, Fraxinus ornus, Galium album agg., </w:t>
            </w:r>
            <w:r w:rsidRPr="00AB1EA4">
              <w:rPr>
                <w:i/>
                <w:iCs/>
                <w:sz w:val="20"/>
                <w:szCs w:val="20"/>
              </w:rPr>
              <w:t xml:space="preserve">Geranium sanguineum, Lactuca perennis, </w:t>
            </w:r>
            <w:r w:rsidRPr="00AB1EA4">
              <w:rPr>
                <w:i/>
                <w:sz w:val="20"/>
                <w:szCs w:val="20"/>
              </w:rPr>
              <w:t xml:space="preserve">Ligustrum vulgare, </w:t>
            </w:r>
            <w:r w:rsidR="001F1247" w:rsidRPr="00AB1EA4">
              <w:rPr>
                <w:i/>
                <w:sz w:val="20"/>
                <w:szCs w:val="20"/>
              </w:rPr>
              <w:t xml:space="preserve">Orchis purpurea, </w:t>
            </w:r>
            <w:r w:rsidRPr="00AB1EA4">
              <w:rPr>
                <w:i/>
                <w:iCs/>
                <w:sz w:val="20"/>
                <w:szCs w:val="20"/>
              </w:rPr>
              <w:t>Polygonatum odoratum</w:t>
            </w:r>
            <w:r w:rsidR="00352FE1" w:rsidRPr="00AB1EA4">
              <w:rPr>
                <w:i/>
                <w:iCs/>
                <w:sz w:val="20"/>
                <w:szCs w:val="20"/>
              </w:rPr>
              <w:t xml:space="preserve">, </w:t>
            </w:r>
            <w:r w:rsidRPr="00AB1EA4">
              <w:rPr>
                <w:i/>
                <w:sz w:val="20"/>
                <w:szCs w:val="20"/>
              </w:rPr>
              <w:t>Rosa canina</w:t>
            </w:r>
            <w:r w:rsidRPr="00AB1EA4">
              <w:rPr>
                <w:sz w:val="20"/>
                <w:szCs w:val="20"/>
              </w:rPr>
              <w:t xml:space="preserve"> agg. , </w:t>
            </w:r>
            <w:r w:rsidRPr="00AB1EA4">
              <w:rPr>
                <w:i/>
                <w:sz w:val="20"/>
                <w:szCs w:val="20"/>
              </w:rPr>
              <w:t xml:space="preserve">Stachys recta, </w:t>
            </w:r>
            <w:r w:rsidRPr="00AB1EA4">
              <w:rPr>
                <w:i/>
                <w:iCs/>
                <w:sz w:val="20"/>
                <w:szCs w:val="20"/>
              </w:rPr>
              <w:t xml:space="preserve">Teucrium chamaedrys, </w:t>
            </w:r>
            <w:r w:rsidRPr="00AB1EA4">
              <w:rPr>
                <w:i/>
                <w:sz w:val="20"/>
                <w:szCs w:val="20"/>
              </w:rPr>
              <w:t xml:space="preserve">Vincetoxicum hirundinaria, Viola hirta, </w:t>
            </w:r>
            <w:r w:rsidR="00D85EA3" w:rsidRPr="00AB1EA4">
              <w:rPr>
                <w:bCs/>
                <w:i/>
                <w:iCs/>
                <w:sz w:val="20"/>
                <w:szCs w:val="20"/>
              </w:rPr>
              <w:t xml:space="preserve">Quercus </w:t>
            </w:r>
            <w:r w:rsidR="00BA1742" w:rsidRPr="00AB1EA4">
              <w:rPr>
                <w:bCs/>
                <w:i/>
                <w:iCs/>
                <w:sz w:val="20"/>
                <w:szCs w:val="20"/>
              </w:rPr>
              <w:t>virgiliana</w:t>
            </w:r>
            <w:r w:rsidR="00D85EA3" w:rsidRPr="00AB1EA4">
              <w:rPr>
                <w:bCs/>
                <w:i/>
                <w:iCs/>
                <w:sz w:val="20"/>
                <w:szCs w:val="20"/>
              </w:rPr>
              <w:t xml:space="preserve">, </w:t>
            </w:r>
            <w:r w:rsidRPr="00AB1EA4">
              <w:rPr>
                <w:bCs/>
                <w:i/>
                <w:iCs/>
                <w:sz w:val="20"/>
                <w:szCs w:val="20"/>
              </w:rPr>
              <w:t>Quercus cerris, Quercus pubescens</w:t>
            </w:r>
            <w:bookmarkStart w:id="0" w:name="_GoBack"/>
            <w:bookmarkEnd w:id="0"/>
          </w:p>
        </w:tc>
      </w:tr>
      <w:tr w:rsidR="00283BA6" w:rsidRPr="00FA68E1" w14:paraId="6FF88A65" w14:textId="77777777" w:rsidTr="00B760B0">
        <w:trPr>
          <w:trHeight w:val="290"/>
        </w:trPr>
        <w:tc>
          <w:tcPr>
            <w:tcW w:w="1702" w:type="dxa"/>
            <w:shd w:val="clear" w:color="auto" w:fill="FFFFFF"/>
            <w:vAlign w:val="center"/>
            <w:hideMark/>
          </w:tcPr>
          <w:p w14:paraId="0E497BDC"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276" w:type="dxa"/>
            <w:shd w:val="clear" w:color="auto" w:fill="FFFFFF"/>
            <w:vAlign w:val="center"/>
            <w:hideMark/>
          </w:tcPr>
          <w:p w14:paraId="34217021"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 xml:space="preserve">percento pokrytia krovín a drevín </w:t>
            </w:r>
            <w:r w:rsidRPr="00FA68E1">
              <w:rPr>
                <w:rFonts w:eastAsia="Times New Roman"/>
                <w:color w:val="000000"/>
                <w:sz w:val="20"/>
                <w:szCs w:val="20"/>
                <w:lang w:eastAsia="sk-SK"/>
              </w:rPr>
              <w:lastRenderedPageBreak/>
              <w:t>/plocha biotopu</w:t>
            </w:r>
          </w:p>
        </w:tc>
        <w:tc>
          <w:tcPr>
            <w:tcW w:w="1417" w:type="dxa"/>
            <w:shd w:val="clear" w:color="auto" w:fill="FFFFFF"/>
            <w:vAlign w:val="center"/>
            <w:hideMark/>
          </w:tcPr>
          <w:p w14:paraId="01D7673A"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lastRenderedPageBreak/>
              <w:t>viac ako 50 % krovín, menej ako 20 % drevín</w:t>
            </w:r>
          </w:p>
        </w:tc>
        <w:tc>
          <w:tcPr>
            <w:tcW w:w="5247" w:type="dxa"/>
            <w:shd w:val="clear" w:color="auto" w:fill="FFFFFF"/>
            <w:vAlign w:val="center"/>
            <w:hideMark/>
          </w:tcPr>
          <w:p w14:paraId="3F9FC941"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283BA6" w:rsidRPr="00FA68E1" w14:paraId="2EE505F8" w14:textId="77777777" w:rsidTr="00B760B0">
        <w:trPr>
          <w:trHeight w:val="850"/>
        </w:trPr>
        <w:tc>
          <w:tcPr>
            <w:tcW w:w="1702" w:type="dxa"/>
            <w:shd w:val="clear" w:color="auto" w:fill="FFFFFF"/>
            <w:vAlign w:val="center"/>
            <w:hideMark/>
          </w:tcPr>
          <w:p w14:paraId="2CE235FC"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7D3DD098"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percento pokrytia/16 m</w:t>
            </w:r>
            <w:r w:rsidRPr="00FA68E1">
              <w:rPr>
                <w:rFonts w:eastAsia="Times New Roman"/>
                <w:color w:val="000000"/>
                <w:sz w:val="20"/>
                <w:szCs w:val="20"/>
                <w:vertAlign w:val="superscript"/>
                <w:lang w:eastAsia="sk-SK"/>
              </w:rPr>
              <w:t>2</w:t>
            </w:r>
          </w:p>
        </w:tc>
        <w:tc>
          <w:tcPr>
            <w:tcW w:w="1417" w:type="dxa"/>
            <w:shd w:val="clear" w:color="auto" w:fill="FFFFFF"/>
            <w:vAlign w:val="center"/>
            <w:hideMark/>
          </w:tcPr>
          <w:p w14:paraId="4778656F"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menej ako 1 %</w:t>
            </w:r>
          </w:p>
        </w:tc>
        <w:tc>
          <w:tcPr>
            <w:tcW w:w="5247" w:type="dxa"/>
            <w:shd w:val="clear" w:color="auto" w:fill="FFFFFF"/>
            <w:vAlign w:val="center"/>
            <w:hideMark/>
          </w:tcPr>
          <w:p w14:paraId="70D823DF" w14:textId="77777777" w:rsidR="00283BA6" w:rsidRPr="00FA68E1" w:rsidRDefault="00283BA6" w:rsidP="00B760B0">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3298761F" w14:textId="77777777" w:rsidR="00283BA6" w:rsidRDefault="00283BA6" w:rsidP="0022520E">
      <w:pPr>
        <w:rPr>
          <w:color w:val="000000"/>
          <w:szCs w:val="24"/>
        </w:rPr>
      </w:pPr>
    </w:p>
    <w:sectPr w:rsidR="00283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22F39"/>
    <w:rsid w:val="00065DE6"/>
    <w:rsid w:val="000A4F43"/>
    <w:rsid w:val="000E4411"/>
    <w:rsid w:val="001C1B63"/>
    <w:rsid w:val="001D4AA1"/>
    <w:rsid w:val="001F1247"/>
    <w:rsid w:val="00204F8C"/>
    <w:rsid w:val="0022520E"/>
    <w:rsid w:val="00283BA6"/>
    <w:rsid w:val="00290C86"/>
    <w:rsid w:val="00301394"/>
    <w:rsid w:val="0034343B"/>
    <w:rsid w:val="00343535"/>
    <w:rsid w:val="00350199"/>
    <w:rsid w:val="00352FE1"/>
    <w:rsid w:val="0036159F"/>
    <w:rsid w:val="004D21AF"/>
    <w:rsid w:val="004F7434"/>
    <w:rsid w:val="00512372"/>
    <w:rsid w:val="005733BA"/>
    <w:rsid w:val="00577A3C"/>
    <w:rsid w:val="0059408B"/>
    <w:rsid w:val="0060686A"/>
    <w:rsid w:val="00625435"/>
    <w:rsid w:val="0068078E"/>
    <w:rsid w:val="006A2913"/>
    <w:rsid w:val="006C1712"/>
    <w:rsid w:val="00700F12"/>
    <w:rsid w:val="007162C0"/>
    <w:rsid w:val="00723DDF"/>
    <w:rsid w:val="00724352"/>
    <w:rsid w:val="00730E44"/>
    <w:rsid w:val="007B2A99"/>
    <w:rsid w:val="007C2D09"/>
    <w:rsid w:val="007E17F5"/>
    <w:rsid w:val="007F3494"/>
    <w:rsid w:val="008334A2"/>
    <w:rsid w:val="008C33F7"/>
    <w:rsid w:val="009248FD"/>
    <w:rsid w:val="00937FD2"/>
    <w:rsid w:val="00A025D2"/>
    <w:rsid w:val="00A6331E"/>
    <w:rsid w:val="00A64F08"/>
    <w:rsid w:val="00A77C74"/>
    <w:rsid w:val="00AB1EA4"/>
    <w:rsid w:val="00AF4D3C"/>
    <w:rsid w:val="00B07C22"/>
    <w:rsid w:val="00B81822"/>
    <w:rsid w:val="00BA1742"/>
    <w:rsid w:val="00BB3796"/>
    <w:rsid w:val="00C86667"/>
    <w:rsid w:val="00CF2E50"/>
    <w:rsid w:val="00D427BD"/>
    <w:rsid w:val="00D44504"/>
    <w:rsid w:val="00D5680A"/>
    <w:rsid w:val="00D67D7C"/>
    <w:rsid w:val="00D85EA3"/>
    <w:rsid w:val="00DF063F"/>
    <w:rsid w:val="00E30B59"/>
    <w:rsid w:val="00E434CB"/>
    <w:rsid w:val="00E43A23"/>
    <w:rsid w:val="00E571A0"/>
    <w:rsid w:val="00E93949"/>
    <w:rsid w:val="00EA1DAE"/>
    <w:rsid w:val="00F169A9"/>
    <w:rsid w:val="00F33CC8"/>
    <w:rsid w:val="00F560F1"/>
    <w:rsid w:val="00F72448"/>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686374526">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939869746">
      <w:bodyDiv w:val="1"/>
      <w:marLeft w:val="0"/>
      <w:marRight w:val="0"/>
      <w:marTop w:val="0"/>
      <w:marBottom w:val="0"/>
      <w:divBdr>
        <w:top w:val="none" w:sz="0" w:space="0" w:color="auto"/>
        <w:left w:val="none" w:sz="0" w:space="0" w:color="auto"/>
        <w:bottom w:val="none" w:sz="0" w:space="0" w:color="auto"/>
        <w:right w:val="none" w:sz="0" w:space="0" w:color="auto"/>
      </w:divBdr>
    </w:div>
    <w:div w:id="974874064">
      <w:bodyDiv w:val="1"/>
      <w:marLeft w:val="0"/>
      <w:marRight w:val="0"/>
      <w:marTop w:val="0"/>
      <w:marBottom w:val="0"/>
      <w:divBdr>
        <w:top w:val="none" w:sz="0" w:space="0" w:color="auto"/>
        <w:left w:val="none" w:sz="0" w:space="0" w:color="auto"/>
        <w:bottom w:val="none" w:sz="0" w:space="0" w:color="auto"/>
        <w:right w:val="none" w:sz="0" w:space="0" w:color="auto"/>
      </w:divBdr>
    </w:div>
    <w:div w:id="1058285504">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463572587">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2023-08-06T11:14:00Z</dcterms:created>
  <dcterms:modified xsi:type="dcterms:W3CDTF">2023-08-06T11:14:00Z</dcterms:modified>
</cp:coreProperties>
</file>