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80" w:rsidRPr="00F76780" w:rsidRDefault="00F76780" w:rsidP="00F7678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780">
        <w:rPr>
          <w:rFonts w:ascii="Times New Roman" w:hAnsi="Times New Roman"/>
          <w:b/>
          <w:sz w:val="28"/>
          <w:szCs w:val="28"/>
        </w:rPr>
        <w:t xml:space="preserve">Ciele ochrany </w:t>
      </w:r>
      <w:r w:rsidRPr="00F76780">
        <w:rPr>
          <w:rFonts w:ascii="Times New Roman" w:hAnsi="Times New Roman"/>
          <w:b/>
          <w:sz w:val="28"/>
          <w:szCs w:val="28"/>
          <w:lang w:eastAsia="cs-CZ"/>
        </w:rPr>
        <w:t>SKUEV0119 Široká</w:t>
      </w:r>
    </w:p>
    <w:p w:rsidR="00F76780" w:rsidRDefault="00F76780" w:rsidP="00F7678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780" w:rsidRDefault="00F76780" w:rsidP="00F7678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Zlepšenie stavu biotopu </w:t>
      </w:r>
      <w:r w:rsidRPr="00F76780">
        <w:rPr>
          <w:rFonts w:ascii="Times New Roman" w:hAnsi="Times New Roman"/>
          <w:b/>
          <w:sz w:val="24"/>
          <w:szCs w:val="24"/>
        </w:rPr>
        <w:t>Pi1 (2340*) Vnút</w:t>
      </w:r>
      <w:bookmarkStart w:id="0" w:name="_GoBack"/>
      <w:bookmarkEnd w:id="0"/>
      <w:r w:rsidRPr="00F76780">
        <w:rPr>
          <w:rFonts w:ascii="Times New Roman" w:hAnsi="Times New Roman"/>
          <w:b/>
          <w:sz w:val="24"/>
          <w:szCs w:val="24"/>
        </w:rPr>
        <w:t>rozemské panónske pieskové duny</w:t>
      </w:r>
      <w:r>
        <w:rPr>
          <w:rFonts w:ascii="Times New Roman" w:hAnsi="Times New Roman"/>
          <w:sz w:val="24"/>
          <w:szCs w:val="24"/>
        </w:rPr>
        <w:t>,</w:t>
      </w:r>
      <w:r w:rsidRPr="00F76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splnenia nasledovných atribútov: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469"/>
        <w:gridCol w:w="996"/>
        <w:gridCol w:w="4043"/>
      </w:tblGrid>
      <w:tr w:rsidR="00F76780" w:rsidRPr="00EF3711" w:rsidTr="00F76780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F76780" w:rsidRPr="00EF3711" w:rsidTr="00F76780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Udržaná výmera biotopu 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území</w:t>
            </w:r>
          </w:p>
        </w:tc>
      </w:tr>
      <w:tr w:rsidR="00F76780" w:rsidRPr="00EF3711" w:rsidTr="00F76780">
        <w:trPr>
          <w:trHeight w:val="168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počet druhov/16</w:t>
            </w:r>
            <w:r w:rsidRPr="002D2C02">
              <w:rPr>
                <w:rFonts w:ascii="Times New Roman" w:hAnsi="Times New Roman"/>
                <w:sz w:val="20"/>
                <w:szCs w:val="20"/>
              </w:rPr>
              <w:t xml:space="preserve"> 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najmenej 4 druhy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Corynephorus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canescens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Erysimum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diffusum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Filago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vulgaris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Festuca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vaginata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subsp.dominii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Helichrysum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arenarium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Jasione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montana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Potentilla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arenaria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Teesdalia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nudicaulis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Thymus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serpyllum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Veronica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dillenii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2D2C02">
              <w:rPr>
                <w:rFonts w:ascii="Times New Roman" w:hAnsi="Times New Roman"/>
                <w:sz w:val="20"/>
                <w:szCs w:val="20"/>
              </w:rPr>
              <w:t xml:space="preserve"> lišajníky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Cladonia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sp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., machy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Ceratodon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purpureus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Polytrichum</w:t>
            </w:r>
            <w:proofErr w:type="spellEnd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i/>
                <w:sz w:val="20"/>
                <w:szCs w:val="20"/>
              </w:rPr>
              <w:t>piliferum</w:t>
            </w:r>
            <w:proofErr w:type="spellEnd"/>
          </w:p>
        </w:tc>
      </w:tr>
      <w:tr w:rsidR="00F76780" w:rsidRPr="00EF3711" w:rsidTr="00F76780">
        <w:trPr>
          <w:trHeight w:val="58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Horizontálna štruktúra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percento nezapojených plôch/plocha biotopu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F76780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sk-SK"/>
              </w:rPr>
            </w:pPr>
            <w:r w:rsidRPr="00F767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minimálne 35 %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Pioniersky biotop, plochy bez vegetácie sú prirodzenou súčasťou biotopu.</w:t>
            </w:r>
          </w:p>
        </w:tc>
      </w:tr>
      <w:tr w:rsidR="00F76780" w:rsidRPr="00EF3711" w:rsidTr="00F76780">
        <w:trPr>
          <w:trHeight w:val="269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menej ako 10%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 xml:space="preserve">Eliminovať zastúpenie drevín a krovín, obzvlášť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Pinus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udržiavať nízke zastúpenie drevín.</w:t>
            </w:r>
          </w:p>
        </w:tc>
      </w:tr>
      <w:tr w:rsidR="00F76780" w:rsidRPr="00EF3711" w:rsidTr="00F76780">
        <w:trPr>
          <w:trHeight w:val="126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 xml:space="preserve">Zastúpenie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alochtónnych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>percento pokrytia/25 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80" w:rsidRPr="00F76780" w:rsidRDefault="00F76780" w:rsidP="00F767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</w:t>
            </w:r>
            <w:r w:rsidRPr="00F767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sz w:val="20"/>
                <w:szCs w:val="20"/>
              </w:rPr>
              <w:t xml:space="preserve">Eliminovať výskyt druhov: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Calamagrostis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epigejos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Rubus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Phytolacca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americana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Ambrosia</w:t>
            </w:r>
            <w:proofErr w:type="spellEnd"/>
            <w:r w:rsidRPr="002D2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C02">
              <w:rPr>
                <w:rFonts w:ascii="Times New Roman" w:hAnsi="Times New Roman"/>
                <w:sz w:val="20"/>
                <w:szCs w:val="20"/>
              </w:rPr>
              <w:t>artemisiifolia</w:t>
            </w:r>
            <w:proofErr w:type="spellEnd"/>
          </w:p>
        </w:tc>
      </w:tr>
    </w:tbl>
    <w:p w:rsidR="00F76780" w:rsidRDefault="00F76780" w:rsidP="00F7678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780" w:rsidRDefault="00F76780" w:rsidP="00F7678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Zlepšenie stavu </w:t>
      </w:r>
      <w:r>
        <w:rPr>
          <w:rFonts w:ascii="Times New Roman" w:hAnsi="Times New Roman"/>
          <w:sz w:val="24"/>
          <w:szCs w:val="24"/>
        </w:rPr>
        <w:t>biotop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780">
        <w:rPr>
          <w:rFonts w:ascii="Times New Roman" w:hAnsi="Times New Roman"/>
          <w:b/>
          <w:sz w:val="24"/>
          <w:szCs w:val="24"/>
        </w:rPr>
        <w:t xml:space="preserve">Tr4 (6260) Panónske </w:t>
      </w:r>
      <w:proofErr w:type="spellStart"/>
      <w:r w:rsidRPr="00F76780">
        <w:rPr>
          <w:rFonts w:ascii="Times New Roman" w:hAnsi="Times New Roman"/>
          <w:b/>
          <w:sz w:val="24"/>
          <w:szCs w:val="24"/>
        </w:rPr>
        <w:t>travinnobylinné</w:t>
      </w:r>
      <w:proofErr w:type="spellEnd"/>
      <w:r w:rsidRPr="00F76780">
        <w:rPr>
          <w:rFonts w:ascii="Times New Roman" w:hAnsi="Times New Roman"/>
          <w:b/>
          <w:sz w:val="24"/>
          <w:szCs w:val="24"/>
        </w:rPr>
        <w:t xml:space="preserve"> porasty na pieskoch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splnenia nasledovných atribútov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251"/>
        <w:gridCol w:w="1079"/>
        <w:gridCol w:w="4320"/>
      </w:tblGrid>
      <w:tr w:rsidR="00F76780" w:rsidRPr="002D2C02" w:rsidTr="00F76780">
        <w:trPr>
          <w:trHeight w:val="290"/>
        </w:trPr>
        <w:tc>
          <w:tcPr>
            <w:tcW w:w="2773" w:type="dxa"/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251" w:type="dxa"/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1079" w:type="dxa"/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4320" w:type="dxa"/>
            <w:shd w:val="clear" w:color="auto" w:fill="auto"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F76780" w:rsidRPr="002D2C02" w:rsidTr="00F76780">
        <w:trPr>
          <w:trHeight w:val="290"/>
        </w:trPr>
        <w:tc>
          <w:tcPr>
            <w:tcW w:w="2773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320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F76780" w:rsidRPr="002D2C02" w:rsidTr="00F76780">
        <w:trPr>
          <w:trHeight w:val="2170"/>
        </w:trPr>
        <w:tc>
          <w:tcPr>
            <w:tcW w:w="2773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76780" w:rsidRPr="002D2C02" w:rsidRDefault="00F76780" w:rsidP="00F7678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počet druhov/16</w:t>
            </w: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m2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320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Charakteristické/typické druhy: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Acetosella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vulgaris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Acosta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rhenana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Achillea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ochroleuca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Achillea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pannonica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Alkanna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tinctoria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Alyssum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alyssoides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Alyssum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tortuosum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Arenaria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serpyllifolia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Bassia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laniflora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Berteroa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incana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Bromus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hordeaceus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Bromus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squarrosus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Bromus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tectorum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Carex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praecox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Carex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stenophylla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Chondrilla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juncea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Corispermum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nitidum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Crepis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foetida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Cynodon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dactylon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Dianthus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serotinus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Ephedra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distachya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Erysimum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diffusum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Festuca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vaginata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Fumana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procumbens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Galium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Gypsophila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fastigiata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subsp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arenaria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Gypsophila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paniculata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Hypericum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perforatum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Koeleria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glauca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Linaria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genistifolia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Medicago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minima,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Melica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transsylvanica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Minuartia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glaucina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Petrorhagia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prolifera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Peucedanum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oreoselinum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Phleum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phleoides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angustifolia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bulbosa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Polygonum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arenarium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Scabiosa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ochroleuca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Silene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conica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Silene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otites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Stipa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borysthenica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Stipa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capillata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Syrenia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cana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Tithymalus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seguierianus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Tragus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racemosus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Tribulus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terrestris</w:t>
            </w:r>
            <w:proofErr w:type="spellEnd"/>
          </w:p>
        </w:tc>
      </w:tr>
      <w:tr w:rsidR="00F76780" w:rsidRPr="002D2C02" w:rsidTr="00F76780">
        <w:trPr>
          <w:trHeight w:val="490"/>
        </w:trPr>
        <w:tc>
          <w:tcPr>
            <w:tcW w:w="2773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menej ako 10%</w:t>
            </w:r>
          </w:p>
        </w:tc>
        <w:tc>
          <w:tcPr>
            <w:tcW w:w="4320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Eliminovať zastúpenie drevín 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krovín</w:t>
            </w:r>
          </w:p>
        </w:tc>
      </w:tr>
      <w:tr w:rsidR="00F76780" w:rsidRPr="002D2C02" w:rsidTr="00F76780">
        <w:trPr>
          <w:trHeight w:val="970"/>
        </w:trPr>
        <w:tc>
          <w:tcPr>
            <w:tcW w:w="2773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:rsidR="00F76780" w:rsidRPr="002D2C02" w:rsidRDefault="00F76780" w:rsidP="00F767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menej ako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320" w:type="dxa"/>
            <w:shd w:val="clear" w:color="auto" w:fill="auto"/>
            <w:vAlign w:val="bottom"/>
            <w:hideMark/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Ambrosia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artemisifolia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Asclepias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syriaca,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Calamagrostis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epigejos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Robinia</w:t>
            </w:r>
            <w:proofErr w:type="spellEnd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D2C0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pseudoacacia</w:t>
            </w:r>
            <w:proofErr w:type="spellEnd"/>
          </w:p>
        </w:tc>
      </w:tr>
    </w:tbl>
    <w:p w:rsidR="00F76780" w:rsidRDefault="00F76780" w:rsidP="00F7678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780" w:rsidRDefault="00F76780" w:rsidP="00F76780">
      <w:pPr>
        <w:spacing w:before="120"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Zachovanie stavu druhu </w:t>
      </w:r>
      <w:proofErr w:type="spellStart"/>
      <w:r w:rsidRPr="00F76780"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>Myotis</w:t>
      </w:r>
      <w:proofErr w:type="spellEnd"/>
      <w:r w:rsidRPr="00F76780"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 xml:space="preserve"> </w:t>
      </w:r>
      <w:proofErr w:type="spellStart"/>
      <w:r w:rsidRPr="00F76780"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>myotis</w:t>
      </w:r>
      <w:proofErr w:type="spellEnd"/>
      <w:r>
        <w:rPr>
          <w:rFonts w:ascii="Times New Roman" w:hAnsi="Times New Roman"/>
          <w:sz w:val="24"/>
          <w:szCs w:val="24"/>
        </w:rPr>
        <w:t>, za splnenia nasledovných atribútov:</w:t>
      </w:r>
    </w:p>
    <w:tbl>
      <w:tblPr>
        <w:tblW w:w="93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1276"/>
        <w:gridCol w:w="1559"/>
        <w:gridCol w:w="3581"/>
        <w:tblGridChange w:id="1">
          <w:tblGrid>
            <w:gridCol w:w="2977"/>
            <w:gridCol w:w="1276"/>
            <w:gridCol w:w="1559"/>
            <w:gridCol w:w="3581"/>
          </w:tblGrid>
        </w:tblGridChange>
      </w:tblGrid>
      <w:tr w:rsidR="00F76780" w:rsidRPr="00F248F4" w:rsidTr="00F01338">
        <w:trPr>
          <w:trHeight w:val="453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2D2C02" w:rsidRDefault="00F76780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2D2C02" w:rsidRDefault="00F76780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F76780" w:rsidRPr="00F248F4" w:rsidTr="00F01338">
        <w:trPr>
          <w:trHeight w:val="34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F248F4" w:rsidRDefault="00F76780" w:rsidP="00EF3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F4">
              <w:rPr>
                <w:rFonts w:ascii="Times New Roman" w:hAnsi="Times New Roman"/>
                <w:sz w:val="20"/>
                <w:szCs w:val="20"/>
              </w:rPr>
              <w:t xml:space="preserve">Kvalita populácie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F248F4" w:rsidRDefault="00F76780" w:rsidP="00EF37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F4">
              <w:rPr>
                <w:rFonts w:ascii="Times New Roman" w:hAnsi="Times New Roman"/>
                <w:sz w:val="20"/>
                <w:szCs w:val="20"/>
              </w:rPr>
              <w:t>Počet jedincov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F248F4" w:rsidRDefault="00F76780" w:rsidP="00EF37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Min. 10 jedincov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80" w:rsidRPr="00F248F4" w:rsidRDefault="00F76780" w:rsidP="00EF3711">
            <w:pPr>
              <w:pStyle w:val="PredformtovanHTM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48F4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populácia v SDF je odhadovaná na 0 až 10 jedincov. Nakoľko nie je dostatok údajov o výskyte druhu je potrebné uskutočniť mapovanie v priebehu nasledujúcich dvoch rokov. Pred 20 rokmi vykonaný monitoring detektormi ukazoval pomerne časté návštevy vhodného biotopu. Aktuálne sa monitoring detektormi nevykonáva.</w:t>
            </w:r>
          </w:p>
        </w:tc>
      </w:tr>
      <w:tr w:rsidR="00F76780" w:rsidRPr="00F248F4" w:rsidTr="00F01338">
        <w:trPr>
          <w:trHeight w:val="34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76780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Rozloha biotopu s vhodnými úkrytovými možnosťami pre druh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76780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01338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Default="00F01338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  <w:p w:rsidR="00F76780" w:rsidRPr="00870D1F" w:rsidRDefault="00F01338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Udržanie vhodného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zápoja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lesných biotopov na min. 0,8</w:t>
            </w:r>
            <w:r>
              <w:rPr>
                <w:rFonts w:ascii="Times New Roman" w:hAnsi="Times New Roman"/>
                <w:sz w:val="20"/>
                <w:szCs w:val="20"/>
              </w:rPr>
              <w:t>, ktoré vytvára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podmienky pre existenciu druhu, bez chemizácie.</w:t>
            </w:r>
          </w:p>
        </w:tc>
      </w:tr>
      <w:tr w:rsidR="00F76780" w:rsidRPr="00F248F4" w:rsidTr="00F01338">
        <w:trPr>
          <w:trHeight w:val="34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76780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Rozloha potenciálneho potravného biotopu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76780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01338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6780" w:rsidRPr="00870D1F" w:rsidRDefault="00F01338" w:rsidP="00F767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Otvorené nelesné plochy s výskytom riedkych trávnych biotopov.</w:t>
            </w:r>
          </w:p>
        </w:tc>
      </w:tr>
    </w:tbl>
    <w:p w:rsidR="00F76780" w:rsidRDefault="00F76780" w:rsidP="00F76780">
      <w:pPr>
        <w:spacing w:before="120"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:rsidR="00F01338" w:rsidRDefault="00F01338" w:rsidP="00F01338">
      <w:pPr>
        <w:spacing w:before="120"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Zachovanie stavu druhu </w:t>
      </w:r>
      <w:proofErr w:type="spellStart"/>
      <w:r w:rsidRPr="00F76780"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>Myotis</w:t>
      </w:r>
      <w:proofErr w:type="spellEnd"/>
      <w:r w:rsidRPr="00F76780"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sk-SK"/>
        </w:rPr>
        <w:t>emarginatus</w:t>
      </w:r>
      <w:proofErr w:type="spellEnd"/>
      <w:r>
        <w:rPr>
          <w:rFonts w:ascii="Times New Roman" w:hAnsi="Times New Roman"/>
          <w:sz w:val="24"/>
          <w:szCs w:val="24"/>
        </w:rPr>
        <w:t>, za splnenia nasledovných atribútov:</w:t>
      </w:r>
    </w:p>
    <w:tbl>
      <w:tblPr>
        <w:tblW w:w="93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1276"/>
        <w:gridCol w:w="1559"/>
        <w:gridCol w:w="3581"/>
        <w:tblGridChange w:id="2">
          <w:tblGrid>
            <w:gridCol w:w="2977"/>
            <w:gridCol w:w="1276"/>
            <w:gridCol w:w="1559"/>
            <w:gridCol w:w="3581"/>
          </w:tblGrid>
        </w:tblGridChange>
      </w:tblGrid>
      <w:tr w:rsidR="00F01338" w:rsidRPr="00F248F4" w:rsidTr="00EF3711">
        <w:trPr>
          <w:trHeight w:val="453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2D2C02" w:rsidRDefault="00F01338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2D2C02" w:rsidRDefault="00F01338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2D2C02" w:rsidRDefault="00F01338" w:rsidP="00EF37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2D2C02" w:rsidRDefault="00F01338" w:rsidP="00EF3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D2C0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F01338" w:rsidRPr="00F248F4" w:rsidTr="00EF3711">
        <w:trPr>
          <w:trHeight w:val="34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F248F4" w:rsidRDefault="00F01338" w:rsidP="00F013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F4">
              <w:rPr>
                <w:rFonts w:ascii="Times New Roman" w:hAnsi="Times New Roman"/>
                <w:sz w:val="20"/>
                <w:szCs w:val="20"/>
              </w:rPr>
              <w:t xml:space="preserve">Kvalita populácie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F248F4" w:rsidRDefault="00F01338" w:rsidP="00F013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F4">
              <w:rPr>
                <w:rFonts w:ascii="Times New Roman" w:hAnsi="Times New Roman"/>
                <w:sz w:val="20"/>
                <w:szCs w:val="20"/>
              </w:rPr>
              <w:t>Počet jedincov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F248F4" w:rsidRDefault="00F01338" w:rsidP="00F0133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jedincov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338" w:rsidRPr="00F248F4" w:rsidRDefault="00F01338" w:rsidP="00F01338">
            <w:pPr>
              <w:pStyle w:val="PredformtovanHTM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48F4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populácia v SDF je odhadovaná na 0 až 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jedinec</w:t>
            </w:r>
            <w:r w:rsidRPr="00F248F4">
              <w:rPr>
                <w:rFonts w:ascii="Times New Roman" w:eastAsia="Calibri" w:hAnsi="Times New Roman" w:cs="Times New Roman"/>
                <w:lang w:eastAsia="en-US"/>
              </w:rPr>
              <w:t>. Nakoľko nie je dostatok údajov o výskyte druhu je potrebné uskutočniť mapovanie v priebehu nasledujúcich dvoch rokov. Pred 20 rokmi vykonaný monitoring detektormi ukazoval pomerne časté návštevy vhodného biotopu. Aktuálne sa monitoring detektormi nevykonáva.</w:t>
            </w:r>
          </w:p>
        </w:tc>
      </w:tr>
      <w:tr w:rsidR="00F01338" w:rsidRPr="00F248F4" w:rsidTr="00EF3711">
        <w:trPr>
          <w:trHeight w:val="34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Rozloha biotopu s vhodnými úkrytovými možnosťami pre druh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Udržanie vhodného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zápoja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lesných biotopov na min. 0,8, ktoré vytvára podmienky pre existenciu druhu, bez chemizácie.</w:t>
            </w:r>
          </w:p>
        </w:tc>
      </w:tr>
      <w:tr w:rsidR="00F01338" w:rsidRPr="00F248F4" w:rsidTr="00EF3711">
        <w:trPr>
          <w:trHeight w:val="34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Rozloha potenciálneho potravného biotopu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338" w:rsidRPr="00870D1F" w:rsidRDefault="00F01338" w:rsidP="00EF37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Otvorené nelesné plochy s výskytom riedkych trávnych biotopov.</w:t>
            </w:r>
          </w:p>
        </w:tc>
      </w:tr>
    </w:tbl>
    <w:p w:rsidR="00F01338" w:rsidRDefault="00F01338" w:rsidP="00F0133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0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80"/>
    <w:rsid w:val="004F7434"/>
    <w:rsid w:val="00F01338"/>
    <w:rsid w:val="00F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0CCD"/>
  <w15:chartTrackingRefBased/>
  <w15:docId w15:val="{39975B22-2B98-43DA-9935-758859E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678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rsid w:val="00F767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7678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Hypertextovprepojenie">
    <w:name w:val="Hyperlink"/>
    <w:uiPriority w:val="99"/>
    <w:semiHidden/>
    <w:rsid w:val="00F76780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2023-01-10T09:20:00Z</dcterms:created>
  <dcterms:modified xsi:type="dcterms:W3CDTF">2023-01-10T09:34:00Z</dcterms:modified>
</cp:coreProperties>
</file>