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BED83E4" w:rsidR="002822A5" w:rsidRDefault="002822A5" w:rsidP="00A676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E23D7B">
        <w:rPr>
          <w:rFonts w:ascii="Times New Roman" w:hAnsi="Times New Roman" w:cs="Times New Roman"/>
          <w:b/>
          <w:sz w:val="24"/>
          <w:szCs w:val="24"/>
        </w:rPr>
        <w:t>087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D7B">
        <w:rPr>
          <w:rFonts w:ascii="Times New Roman" w:hAnsi="Times New Roman" w:cs="Times New Roman"/>
          <w:b/>
          <w:sz w:val="24"/>
          <w:szCs w:val="24"/>
        </w:rPr>
        <w:t>Osminy</w:t>
      </w:r>
    </w:p>
    <w:p w14:paraId="4989A659" w14:textId="51DF40A0" w:rsidR="006836AB" w:rsidRDefault="006836AB" w:rsidP="00A676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3777F5AB" w:rsidR="002822A5" w:rsidRDefault="002822A5" w:rsidP="00A676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4A240402" w:rsidR="004C45C8" w:rsidRDefault="004C45C8" w:rsidP="00A676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073999B9" w:rsidR="00F33649" w:rsidRPr="00F33649" w:rsidRDefault="00F33649" w:rsidP="00A6762A">
      <w:pPr>
        <w:pStyle w:val="Zkladntext"/>
        <w:widowControl w:val="0"/>
        <w:jc w:val="both"/>
        <w:rPr>
          <w:b w:val="0"/>
          <w:color w:val="FF0000"/>
          <w:sz w:val="20"/>
          <w:szCs w:val="20"/>
          <w:shd w:val="clear" w:color="auto" w:fill="FFFFFF"/>
        </w:rPr>
      </w:pPr>
      <w:r w:rsidRPr="00F33649">
        <w:rPr>
          <w:b w:val="0"/>
          <w:color w:val="000000"/>
        </w:rPr>
        <w:t>Z</w:t>
      </w:r>
      <w:r w:rsidR="00AD4A0A">
        <w:rPr>
          <w:b w:val="0"/>
          <w:color w:val="000000"/>
        </w:rPr>
        <w:t xml:space="preserve">lepšenie </w:t>
      </w:r>
      <w:r w:rsidRPr="00F33649">
        <w:rPr>
          <w:b w:val="0"/>
          <w:color w:val="000000"/>
        </w:rPr>
        <w:t>stavu biotopu</w:t>
      </w:r>
      <w:r w:rsidRPr="00F33649">
        <w:rPr>
          <w:color w:val="000000"/>
        </w:rPr>
        <w:t xml:space="preserve"> Ls3.2</w:t>
      </w:r>
      <w:r w:rsidRPr="00F33649">
        <w:t xml:space="preserve"> (91I0*) </w:t>
      </w:r>
      <w:r w:rsidRPr="00F33649">
        <w:rPr>
          <w:shd w:val="clear" w:color="auto" w:fill="FFFFFF"/>
        </w:rPr>
        <w:t>Eurosibírske dubové lesy na spraši a piesku (</w:t>
      </w:r>
      <w:r w:rsidRPr="00F33649">
        <w:t>Teplomilné ponticko-panónske dubové lesy na spraši a piesku)</w:t>
      </w:r>
      <w:r w:rsidRPr="00F33649">
        <w:rPr>
          <w:shd w:val="clear" w:color="auto" w:fill="FFFFFF"/>
        </w:rPr>
        <w:t xml:space="preserve"> </w:t>
      </w:r>
      <w:r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F33649" w14:paraId="76B90E60" w14:textId="77777777" w:rsidTr="00A6762A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9C43" w14:textId="77777777" w:rsidR="00F33649" w:rsidRPr="00A6762A" w:rsidRDefault="00F33649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b/>
                <w:sz w:val="18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A29C" w14:textId="77777777" w:rsidR="00F33649" w:rsidRPr="00A6762A" w:rsidRDefault="00F33649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b/>
                <w:sz w:val="18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2691" w14:textId="77777777" w:rsidR="00F33649" w:rsidRPr="00A6762A" w:rsidRDefault="00F33649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b/>
                <w:sz w:val="18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7818" w14:textId="77777777" w:rsidR="00F33649" w:rsidRPr="00A6762A" w:rsidRDefault="00F33649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b/>
                <w:sz w:val="18"/>
                <w:szCs w:val="20"/>
              </w:rPr>
              <w:t>Doplnkové informácie</w:t>
            </w:r>
          </w:p>
        </w:tc>
      </w:tr>
      <w:tr w:rsidR="00F33649" w:rsidRPr="00F33649" w14:paraId="164963D3" w14:textId="77777777" w:rsidTr="00A6762A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7B07" w14:textId="77777777" w:rsidR="00F33649" w:rsidRPr="00A6762A" w:rsidRDefault="00F33649" w:rsidP="00A6762A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2A6" w14:textId="77777777" w:rsidR="00F33649" w:rsidRPr="00A6762A" w:rsidRDefault="00F33649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029B" w14:textId="4B0782E0" w:rsidR="00F33649" w:rsidRPr="00A6762A" w:rsidRDefault="00E23D7B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C827" w14:textId="10D6569D" w:rsidR="00F33649" w:rsidRPr="00A6762A" w:rsidRDefault="00F33649" w:rsidP="00A6762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Dosiahnutie stanoven</w:t>
            </w:r>
            <w:r w:rsidR="003A434C">
              <w:rPr>
                <w:rFonts w:ascii="Times New Roman" w:hAnsi="Times New Roman" w:cs="Times New Roman"/>
                <w:sz w:val="18"/>
                <w:szCs w:val="20"/>
              </w:rPr>
              <w:t>ej výmery biotopu v ÚEV, pretože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v súčasnosti je biotop zaznamenaný len v nevyhovujúcom stave v malých fragmentoch.</w:t>
            </w:r>
          </w:p>
        </w:tc>
      </w:tr>
      <w:tr w:rsidR="00F33649" w:rsidRPr="00F33649" w14:paraId="0CC0AA80" w14:textId="77777777" w:rsidTr="00A6762A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76" w14:textId="77777777" w:rsidR="00F33649" w:rsidRPr="00A6762A" w:rsidRDefault="00F33649" w:rsidP="00A6762A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E220" w14:textId="77777777" w:rsidR="00F33649" w:rsidRPr="00A6762A" w:rsidRDefault="00F33649" w:rsidP="00A6762A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9835" w14:textId="77777777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najmenej 80 %</w:t>
            </w:r>
          </w:p>
          <w:p w14:paraId="2AFBCDAC" w14:textId="77777777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6AD" w14:textId="6DC65436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Charakteristická druhová skladba:</w:t>
            </w:r>
            <w:r w:rsidR="00A6762A"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>Acer campestre, A. platanoides, A. tataricum,</w:t>
            </w:r>
            <w:r w:rsidR="00A6762A"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Carpinus betulus, Cerasus avium, C. mahaleb, Cornus mas, Fraxinus angustifolia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subsp.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danubialis,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>F. excelsior,</w:t>
            </w:r>
            <w:r w:rsidR="00A6762A"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Quercus cerris, Q. petraea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agg</w:t>
            </w:r>
            <w:r w:rsidR="00A6762A" w:rsidRPr="00A6762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, Quercus robur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agg.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(najmä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Q. pedunculiflora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),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Q. virgiliana, Q. frainetto, Populus alba, Sorbus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spp.,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Tilia cordata, T. platyphyllos, Ulmus laevis, U. minor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F33649" w:rsidRPr="00F33649" w14:paraId="39DD9894" w14:textId="77777777" w:rsidTr="00A6762A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A732" w14:textId="77777777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Zastúpenie charakteristických druhov synúzie podrastu (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>bylín, krov, machorastov,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19EE" w14:textId="77777777" w:rsidR="00F33649" w:rsidRPr="00A6762A" w:rsidRDefault="00F33649" w:rsidP="00A6762A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A777" w14:textId="77777777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F0AB" w14:textId="3C22498F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Charakteristická druhová skladba:</w:t>
            </w:r>
            <w:r w:rsidR="00A6762A"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Carex michelii, Convallaria majalis, Cruciata laevipes, Dactylis polygama, Dictamnus albus, Festuca heterophylla, F. rupicola, Iris variegata, Lathyrus lacteus, Lithospermum purpurocaeruleum, Melica picta, Serratula tinctoria,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na pieskoch</w:t>
            </w:r>
            <w:r w:rsidRPr="00A6762A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Carex fritschii.</w:t>
            </w:r>
          </w:p>
        </w:tc>
      </w:tr>
      <w:tr w:rsidR="00F33649" w:rsidRPr="00F33649" w14:paraId="16EA5375" w14:textId="77777777" w:rsidTr="00A6762A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320C" w14:textId="4811006B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Zastúpenie alochtónnych druhov/</w:t>
            </w:r>
            <w:r w:rsid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A664" w14:textId="77777777" w:rsidR="00F33649" w:rsidRPr="00A6762A" w:rsidRDefault="00F33649" w:rsidP="00A6762A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0E5D" w14:textId="77777777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DCED" w14:textId="0CB99EE2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Udržanie minimálne zastúpenie alochtónnych/</w:t>
            </w:r>
            <w:r w:rsidR="00A6762A"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inváznych druhov drevín v biotope</w:t>
            </w:r>
          </w:p>
        </w:tc>
      </w:tr>
      <w:tr w:rsidR="00F33649" w:rsidRPr="00F33649" w14:paraId="604BC4C2" w14:textId="77777777" w:rsidTr="00A6762A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D70" w14:textId="77777777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Odumreté drevo (stojace, ležiace kmene stromov hlavnej úrovne s limitnou hrúbkou d</w:t>
            </w:r>
            <w:r w:rsidRPr="00A6762A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1,3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526D" w14:textId="77777777" w:rsidR="00F33649" w:rsidRPr="00A6762A" w:rsidRDefault="00F33649" w:rsidP="00A6762A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Pr="00A6762A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3</w:t>
            </w: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FF70A" w14:textId="77777777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Najmenej 40</w:t>
            </w:r>
          </w:p>
          <w:p w14:paraId="19251380" w14:textId="77777777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E69D94F" w14:textId="41C08DD0" w:rsidR="00F33649" w:rsidRPr="00A6762A" w:rsidRDefault="00F33649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rovnomerne po celej 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944C" w14:textId="77777777" w:rsidR="00F33649" w:rsidRPr="00A6762A" w:rsidRDefault="00F33649" w:rsidP="00A6762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6762A">
              <w:rPr>
                <w:rFonts w:ascii="Times New Roman" w:hAnsi="Times New Roman" w:cs="Times New Roman"/>
                <w:sz w:val="18"/>
                <w:szCs w:val="20"/>
              </w:rPr>
              <w:t>Udržanie prítomnosti mŕtveho dreva na ploche biotopu</w:t>
            </w:r>
          </w:p>
          <w:p w14:paraId="2CC01754" w14:textId="77777777" w:rsidR="00F33649" w:rsidRPr="00A6762A" w:rsidRDefault="00F33649" w:rsidP="00A6762A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5C83F1C" w14:textId="77777777" w:rsidR="00F33649" w:rsidRPr="00F33649" w:rsidRDefault="00F33649" w:rsidP="00A6762A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p w14:paraId="3377172A" w14:textId="713DF83D" w:rsidR="00BA75B0" w:rsidRDefault="00AD4A0A" w:rsidP="00A6762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Ls2.2 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BA75B0" w:rsidRPr="00BA75B0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91G0*</w:t>
      </w:r>
      <w:r w:rsidR="00BA75B0" w:rsidRPr="00BA75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 Karpatské a panónske dubovo-hrabové lesy</w:t>
      </w:r>
      <w:r w:rsidR="00BA75B0" w:rsidRPr="00BA7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</w:rPr>
        <w:t>za splnenia nasledovných atribútov</w:t>
      </w:r>
      <w:r w:rsidR="00BA75B0" w:rsidRPr="00BA7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4"/>
        <w:gridCol w:w="1482"/>
        <w:gridCol w:w="1333"/>
        <w:gridCol w:w="4503"/>
      </w:tblGrid>
      <w:tr w:rsidR="00E90088" w:rsidRPr="00870D1F" w14:paraId="384233DD" w14:textId="77777777" w:rsidTr="001718AC">
        <w:trPr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1E23F" w14:textId="77777777" w:rsidR="00E90088" w:rsidRPr="00870D1F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15332" w14:textId="77777777" w:rsidR="00E90088" w:rsidRPr="00870D1F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16380" w14:textId="77777777" w:rsidR="00E90088" w:rsidRPr="00870D1F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32A7F" w14:textId="77777777" w:rsidR="00E90088" w:rsidRPr="00870D1F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870D1F" w14:paraId="6E3F1AFB" w14:textId="77777777" w:rsidTr="001718AC">
        <w:trPr>
          <w:trHeight w:val="270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C6426" w14:textId="77777777" w:rsidR="00E90088" w:rsidRPr="00870D1F" w:rsidRDefault="00E90088" w:rsidP="00A676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AEEDA" w14:textId="77777777" w:rsidR="00E90088" w:rsidRPr="00870D1F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A145D" w14:textId="59989658" w:rsidR="00E90088" w:rsidRPr="00870D1F" w:rsidRDefault="00E23D7B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BEE3B" w14:textId="07DDF709" w:rsidR="00E90088" w:rsidRPr="00870D1F" w:rsidRDefault="00E90088" w:rsidP="00A676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existujúcej výmery</w:t>
            </w:r>
            <w:r w:rsidR="002A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biotopu.</w:t>
            </w:r>
          </w:p>
        </w:tc>
      </w:tr>
      <w:tr w:rsidR="00E90088" w:rsidRPr="00870D1F" w14:paraId="7982EF56" w14:textId="77777777" w:rsidTr="001718AC">
        <w:trPr>
          <w:trHeight w:val="179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B0F51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AEB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C0E74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43F3641D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EBEA6" w14:textId="4FDF259D" w:rsidR="00E90088" w:rsidRPr="00861A50" w:rsidRDefault="00E90088" w:rsidP="002A07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2A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campestre, A. platanoides,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A. tataricum,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Carpinus betulus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Cerasus avium, Fraxinus angustifolia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subsp.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danubialis,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F. excelsior,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cerris*, Q. 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2A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Q. pubescens*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</w:t>
            </w:r>
            <w:r w:rsidR="002A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robur 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</w:t>
            </w:r>
            <w:r w:rsidR="002A07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Populus alba, Sorbus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Ulmus minor</w:t>
            </w:r>
            <w:r w:rsidR="00861A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Cornus mas, Euonymus verrucosus, Ligustrum vulgare, Prunus spinosa.</w:t>
            </w:r>
          </w:p>
          <w:p w14:paraId="08E4B0C9" w14:textId="6833AA6B" w:rsidR="00E90088" w:rsidRPr="00870D1F" w:rsidRDefault="00E90088" w:rsidP="00A676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*(</w:t>
            </w:r>
            <w:r w:rsidRPr="00870D1F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robur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petraea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a/alebo 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Quercus pubescens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a/alebo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Quercus cerris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30%)</w:t>
            </w:r>
          </w:p>
          <w:p w14:paraId="485ED7A0" w14:textId="77777777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870D1F" w14:paraId="5420A682" w14:textId="77777777" w:rsidTr="001718AC">
        <w:trPr>
          <w:trHeight w:val="173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AAC2" w14:textId="77777777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Zastúpenie charakteristických druhov synúzie podrastu 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9956" w14:textId="77777777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24F50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E3269" w14:textId="6DAE8A18" w:rsidR="00E90088" w:rsidRPr="00870D1F" w:rsidRDefault="00E90088" w:rsidP="002A071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  <w:r w:rsidR="002A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Campanula trachelium, Convallaria majalis, Corydalis cava, Dactylis polygama, Galanthus nivalis, Lathyrus</w:t>
            </w:r>
            <w:r w:rsidR="00A6762A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vernus, Melica uniflora, Mellit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is melissophyllum, Poa angustifolia, Polygonatum latifolium, Potentilla micrantha, Primula veris, Pulmonaria mollis, Scutellaria altissima, Viola mirabilis.</w:t>
            </w:r>
          </w:p>
        </w:tc>
      </w:tr>
      <w:tr w:rsidR="00E90088" w:rsidRPr="00870D1F" w14:paraId="1E21E51D" w14:textId="77777777" w:rsidTr="001718AC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0A432" w14:textId="77777777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7B2E8" w14:textId="0DE4F683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(%) pokrytia / 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75695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165F9" w14:textId="56F8BE60" w:rsidR="00E90088" w:rsidRPr="00870D1F" w:rsidRDefault="00E90088" w:rsidP="00A676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zastúpenie inváznych alebo nepôvodných druhov drevín v biotope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Negundo aceroides, Ailanthus altissima, Robinia pseudoacacia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a bylín (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Aster 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sp.</w:t>
            </w:r>
            <w:r w:rsidR="002A071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Solidago gigant</w:t>
            </w:r>
            <w:r w:rsidRPr="00870D1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ea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E90088" w:rsidRPr="00870D1F" w14:paraId="4999D0A1" w14:textId="77777777" w:rsidTr="001718AC">
        <w:trPr>
          <w:trHeight w:val="114"/>
          <w:jc w:val="center"/>
        </w:trPr>
        <w:tc>
          <w:tcPr>
            <w:tcW w:w="17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F5358" w14:textId="77777777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48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D073A" w14:textId="77777777" w:rsidR="00E90088" w:rsidRPr="00870D1F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3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EEA5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6D022115" w14:textId="77777777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5BC071D" w14:textId="746E4011" w:rsidR="00E90088" w:rsidRPr="00870D1F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45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BFB71" w14:textId="1FAC596B" w:rsidR="00E90088" w:rsidRPr="00870D1F" w:rsidRDefault="00E90088" w:rsidP="002A07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Prítomnosť odumretého dreva udržiavaná na ploche biotopu v danom objeme.</w:t>
            </w:r>
          </w:p>
        </w:tc>
      </w:tr>
    </w:tbl>
    <w:p w14:paraId="4F85BE88" w14:textId="77777777" w:rsidR="00E90088" w:rsidRDefault="00E90088" w:rsidP="00A6762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62C3C04" w14:textId="02DDB46A" w:rsidR="00E90088" w:rsidRPr="00775056" w:rsidRDefault="00AD4A0A" w:rsidP="002A0718">
      <w:pPr>
        <w:pStyle w:val="Zkladntext"/>
        <w:widowControl w:val="0"/>
        <w:spacing w:after="120"/>
        <w:jc w:val="left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E90088" w:rsidRPr="00775056">
        <w:rPr>
          <w:b w:val="0"/>
          <w:color w:val="000000"/>
        </w:rPr>
        <w:t xml:space="preserve">stavu </w:t>
      </w:r>
      <w:r w:rsidR="00E90088" w:rsidRPr="00EF2001">
        <w:rPr>
          <w:b w:val="0"/>
          <w:color w:val="000000"/>
        </w:rPr>
        <w:t>biotopu</w:t>
      </w:r>
      <w:r w:rsidR="00E90088">
        <w:rPr>
          <w:color w:val="000000"/>
        </w:rPr>
        <w:t xml:space="preserve"> Ls3.4</w:t>
      </w:r>
      <w:r w:rsidR="00E90088" w:rsidRPr="00775056">
        <w:rPr>
          <w:color w:val="000000"/>
        </w:rPr>
        <w:t xml:space="preserve"> </w:t>
      </w:r>
      <w:r w:rsidR="00E90088" w:rsidRPr="00775056">
        <w:rPr>
          <w:bCs w:val="0"/>
          <w:color w:val="000000"/>
          <w:shd w:val="clear" w:color="auto" w:fill="FFFFFF"/>
        </w:rPr>
        <w:t>(</w:t>
      </w:r>
      <w:r w:rsidR="00E90088">
        <w:rPr>
          <w:color w:val="000000"/>
          <w:lang w:eastAsia="sk-SK"/>
        </w:rPr>
        <w:t>91M0</w:t>
      </w:r>
      <w:r w:rsidR="00E90088" w:rsidRPr="00775056">
        <w:rPr>
          <w:bCs w:val="0"/>
          <w:color w:val="000000"/>
          <w:shd w:val="clear" w:color="auto" w:fill="FFFFFF"/>
        </w:rPr>
        <w:t xml:space="preserve">) </w:t>
      </w:r>
      <w:r w:rsidR="00E90088">
        <w:rPr>
          <w:bCs w:val="0"/>
          <w:color w:val="000000"/>
          <w:shd w:val="clear" w:color="auto" w:fill="FFFFFF"/>
        </w:rPr>
        <w:t xml:space="preserve">Panónsko-balkánske cerové lesy </w:t>
      </w:r>
      <w:r w:rsidR="00E90088" w:rsidRPr="00775056">
        <w:rPr>
          <w:b w:val="0"/>
          <w:color w:val="000000"/>
        </w:rPr>
        <w:t>za splnenia nasledovných atribútov</w:t>
      </w:r>
      <w:r w:rsidR="00E90088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54"/>
        <w:gridCol w:w="1286"/>
        <w:gridCol w:w="1533"/>
        <w:gridCol w:w="3899"/>
      </w:tblGrid>
      <w:tr w:rsidR="00E90088" w:rsidRPr="00E90088" w14:paraId="67BCCE7E" w14:textId="77777777" w:rsidTr="002A0718">
        <w:trPr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CA86" w14:textId="77777777" w:rsidR="00E90088" w:rsidRPr="00E90088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F4DAC" w14:textId="77777777" w:rsidR="00E90088" w:rsidRPr="00E90088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394E7" w14:textId="77777777" w:rsidR="00E90088" w:rsidRPr="00E90088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3E74" w14:textId="77777777" w:rsidR="00E90088" w:rsidRPr="00E90088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E90088" w:rsidRPr="00E90088" w14:paraId="6121327D" w14:textId="77777777" w:rsidTr="002A0718">
        <w:trPr>
          <w:trHeight w:val="527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A9668" w14:textId="77777777" w:rsidR="00E90088" w:rsidRPr="00E90088" w:rsidRDefault="00E90088" w:rsidP="00A676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FD6E" w14:textId="77777777" w:rsidR="00E90088" w:rsidRPr="00E90088" w:rsidRDefault="00E90088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4324" w14:textId="7EBA91C1" w:rsidR="00E90088" w:rsidRPr="00E90088" w:rsidRDefault="00E23D7B" w:rsidP="00A6762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C8A4" w14:textId="77777777" w:rsidR="00E90088" w:rsidRPr="00E90088" w:rsidRDefault="00E90088" w:rsidP="00A6762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Udržanie stanovenej výmery biotopu v ÚEV.</w:t>
            </w:r>
          </w:p>
        </w:tc>
      </w:tr>
      <w:tr w:rsidR="00E90088" w:rsidRPr="00E90088" w14:paraId="32B96BEB" w14:textId="77777777" w:rsidTr="002A0718">
        <w:trPr>
          <w:trHeight w:val="179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C95D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BDA77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8CD5D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80 %</w:t>
            </w:r>
          </w:p>
          <w:p w14:paraId="329B433A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EC4C4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23850A59" w14:textId="015B8457" w:rsidR="00E90088" w:rsidRPr="00E90088" w:rsidRDefault="00E90088" w:rsidP="00A676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Acer campestre, A. platanoides,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A. tataricum,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Carpinus betulus, Cerasus avium, Cornus mas,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Quercus cerris*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Q. petraea </w:t>
            </w: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agg*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, Q. robur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agg*.,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Sorbus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spp.,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Tilia cordata, T. platyphyllos, Ulmus laevis, U. minor</w:t>
            </w:r>
            <w:r w:rsid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Ligustrum vulgare, Prunus spinosa, Swida sanguinea.</w:t>
            </w:r>
          </w:p>
          <w:p w14:paraId="67F83A61" w14:textId="39B94F4E" w:rsidR="00E90088" w:rsidRPr="00A6762A" w:rsidRDefault="00E90088" w:rsidP="00A676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E9008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Quercus cerris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30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%,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všetky duby</w:t>
            </w:r>
            <w:r w:rsid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minimálne 60%)</w:t>
            </w:r>
          </w:p>
          <w:p w14:paraId="38E48B1B" w14:textId="77777777" w:rsidR="00E90088" w:rsidRPr="00E90088" w:rsidRDefault="00E90088" w:rsidP="00A676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Pozn.: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Hrubším typom písma sú vyznačené dominantné druhy biotopu</w:t>
            </w:r>
          </w:p>
        </w:tc>
      </w:tr>
      <w:tr w:rsidR="00E90088" w:rsidRPr="00E90088" w14:paraId="76CF8B70" w14:textId="77777777" w:rsidTr="002A0718">
        <w:trPr>
          <w:trHeight w:val="173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DD96F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 synúzie podrastu (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bylín, krov, machorastov, lišajníkov)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B409B" w14:textId="77777777" w:rsidR="00E90088" w:rsidRPr="00E90088" w:rsidRDefault="00E90088" w:rsidP="00A6762A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2A4683" w14:textId="77777777" w:rsidR="00E90088" w:rsidRPr="00E90088" w:rsidRDefault="00E90088" w:rsidP="00A6762A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FDF04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Charakteristická druhová skladba:</w:t>
            </w:r>
          </w:p>
          <w:p w14:paraId="767B649B" w14:textId="5643EFC0" w:rsidR="00E90088" w:rsidRPr="00E90088" w:rsidRDefault="00E90088" w:rsidP="00A6762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 montana, Lathyrus niger, Lembotropis nigricans, Luzula luzuloides, Lychnis coronaria, Melica picta, Melittis melissophylum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9008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Poa angustifolia, Potentila alba, Primula veris, Pulmonaria murini, Serratula tinctoria, Vicia cassubica, Veronica officinalis, Waldsteinia geoides. </w:t>
            </w:r>
          </w:p>
        </w:tc>
      </w:tr>
      <w:tr w:rsidR="00E90088" w:rsidRPr="00E90088" w14:paraId="6062600F" w14:textId="77777777" w:rsidTr="002A0718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52EB8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DF308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1377F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AE8D0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výskytu alochtónnych/inváznych druhov.</w:t>
            </w:r>
          </w:p>
        </w:tc>
      </w:tr>
      <w:tr w:rsidR="00E90088" w:rsidRPr="00E90088" w14:paraId="115C9DAE" w14:textId="77777777" w:rsidTr="002A0718">
        <w:trPr>
          <w:trHeight w:val="114"/>
          <w:jc w:val="center"/>
        </w:trPr>
        <w:tc>
          <w:tcPr>
            <w:tcW w:w="235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BF9E3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Odumreté drevo (stojace, ležiace kmene stromov hlavnej úrovne s limitnou hrúbkou d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 cm)</w:t>
            </w:r>
          </w:p>
        </w:tc>
        <w:tc>
          <w:tcPr>
            <w:tcW w:w="12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E5C86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/ha</w:t>
            </w:r>
          </w:p>
        </w:tc>
        <w:tc>
          <w:tcPr>
            <w:tcW w:w="15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03919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40</w:t>
            </w:r>
          </w:p>
          <w:p w14:paraId="588B6BAB" w14:textId="77777777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7AE5510" w14:textId="16F4DD7A" w:rsidR="00E90088" w:rsidRPr="00E90088" w:rsidRDefault="00E90088" w:rsidP="00A67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38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22DC3" w14:textId="77777777" w:rsidR="00E90088" w:rsidRPr="00E90088" w:rsidRDefault="00E90088" w:rsidP="00A6762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A281DB" w14:textId="77777777" w:rsidR="00E90088" w:rsidRPr="00E90088" w:rsidRDefault="00E90088" w:rsidP="00A67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26F618E" w14:textId="13B2F329" w:rsidR="00C44445" w:rsidRDefault="00C44445" w:rsidP="00A6762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12AA162" w14:textId="54D165FB" w:rsidR="00C01F23" w:rsidRPr="00775056" w:rsidRDefault="00C01F23" w:rsidP="00A6762A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Pr="00775056">
        <w:rPr>
          <w:b w:val="0"/>
          <w:color w:val="000000"/>
        </w:rPr>
        <w:t xml:space="preserve">stavu </w:t>
      </w:r>
      <w:r w:rsidRPr="00EF2001">
        <w:rPr>
          <w:b w:val="0"/>
          <w:color w:val="000000"/>
        </w:rPr>
        <w:t>biotopu</w:t>
      </w:r>
      <w:r>
        <w:rPr>
          <w:color w:val="000000"/>
        </w:rPr>
        <w:t xml:space="preserve"> Kr6</w:t>
      </w:r>
      <w:r w:rsidRPr="00775056">
        <w:rPr>
          <w:color w:val="000000"/>
        </w:rPr>
        <w:t xml:space="preserve"> </w:t>
      </w:r>
      <w:r w:rsidRPr="00775056">
        <w:rPr>
          <w:bCs w:val="0"/>
          <w:color w:val="000000"/>
          <w:shd w:val="clear" w:color="auto" w:fill="FFFFFF"/>
        </w:rPr>
        <w:t>(</w:t>
      </w:r>
      <w:r>
        <w:rPr>
          <w:color w:val="000000"/>
          <w:lang w:eastAsia="sk-SK"/>
        </w:rPr>
        <w:t>40A0*</w:t>
      </w:r>
      <w:r w:rsidRPr="00775056">
        <w:rPr>
          <w:bCs w:val="0"/>
          <w:color w:val="000000"/>
          <w:shd w:val="clear" w:color="auto" w:fill="FFFFFF"/>
        </w:rPr>
        <w:t xml:space="preserve">) </w:t>
      </w:r>
      <w:r>
        <w:rPr>
          <w:bCs w:val="0"/>
          <w:color w:val="000000"/>
          <w:shd w:val="clear" w:color="auto" w:fill="FFFFFF"/>
        </w:rPr>
        <w:t xml:space="preserve">Xerotermné kroviny </w:t>
      </w:r>
      <w:r w:rsidRPr="00775056">
        <w:rPr>
          <w:b w:val="0"/>
          <w:color w:val="000000"/>
        </w:rPr>
        <w:t>za splnenia nasledovných</w:t>
      </w:r>
      <w:r w:rsidR="00A6762A">
        <w:rPr>
          <w:b w:val="0"/>
          <w:color w:val="000000"/>
        </w:rPr>
        <w:t xml:space="preserve"> </w:t>
      </w:r>
      <w:r w:rsidRPr="00775056">
        <w:rPr>
          <w:b w:val="0"/>
          <w:color w:val="000000"/>
        </w:rPr>
        <w:t>atribútov</w:t>
      </w:r>
      <w:r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249"/>
        <w:gridCol w:w="1226"/>
        <w:gridCol w:w="3829"/>
      </w:tblGrid>
      <w:tr w:rsidR="00C01F23" w:rsidRPr="00A6762A" w14:paraId="663642E6" w14:textId="77777777" w:rsidTr="00A6762A">
        <w:trPr>
          <w:trHeight w:val="705"/>
        </w:trPr>
        <w:tc>
          <w:tcPr>
            <w:tcW w:w="2909" w:type="dxa"/>
            <w:shd w:val="clear" w:color="auto" w:fill="FFFFFF"/>
            <w:vAlign w:val="center"/>
            <w:hideMark/>
          </w:tcPr>
          <w:p w14:paraId="3CEAA5C3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A6762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Parameter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10E61152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A6762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Merateľnosť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14:paraId="65332458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A6762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Cieľová hodnota</w:t>
            </w:r>
          </w:p>
        </w:tc>
        <w:tc>
          <w:tcPr>
            <w:tcW w:w="3830" w:type="dxa"/>
            <w:shd w:val="clear" w:color="auto" w:fill="FFFFFF"/>
            <w:vAlign w:val="center"/>
            <w:hideMark/>
          </w:tcPr>
          <w:p w14:paraId="76062E97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u w:val="single"/>
                <w:lang w:eastAsia="sk-SK"/>
              </w:rPr>
            </w:pPr>
            <w:r w:rsidRPr="00A6762A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Doplnkové informácie</w:t>
            </w:r>
          </w:p>
        </w:tc>
      </w:tr>
      <w:tr w:rsidR="00C01F23" w:rsidRPr="00A6762A" w14:paraId="5A98F2CC" w14:textId="77777777" w:rsidTr="00A6762A">
        <w:trPr>
          <w:trHeight w:val="290"/>
        </w:trPr>
        <w:tc>
          <w:tcPr>
            <w:tcW w:w="2909" w:type="dxa"/>
            <w:shd w:val="clear" w:color="auto" w:fill="FFFFFF"/>
            <w:vAlign w:val="center"/>
            <w:hideMark/>
          </w:tcPr>
          <w:p w14:paraId="4AB16F0F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13FE75CF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ha </w:t>
            </w:r>
          </w:p>
        </w:tc>
        <w:tc>
          <w:tcPr>
            <w:tcW w:w="1226" w:type="dxa"/>
            <w:shd w:val="clear" w:color="auto" w:fill="FFFFFF"/>
            <w:vAlign w:val="center"/>
          </w:tcPr>
          <w:p w14:paraId="23FA3422" w14:textId="515ADA43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0,5</w:t>
            </w:r>
          </w:p>
        </w:tc>
        <w:tc>
          <w:tcPr>
            <w:tcW w:w="3830" w:type="dxa"/>
            <w:shd w:val="clear" w:color="auto" w:fill="FFFFFF"/>
            <w:vAlign w:val="center"/>
            <w:hideMark/>
          </w:tcPr>
          <w:p w14:paraId="50AEBD17" w14:textId="50CE8DA6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Udržanie súčasnej výmery biotopu</w:t>
            </w:r>
          </w:p>
        </w:tc>
      </w:tr>
      <w:tr w:rsidR="00C01F23" w:rsidRPr="00A6762A" w14:paraId="5E3B4F49" w14:textId="77777777" w:rsidTr="00A6762A">
        <w:trPr>
          <w:trHeight w:val="1548"/>
        </w:trPr>
        <w:tc>
          <w:tcPr>
            <w:tcW w:w="2909" w:type="dxa"/>
            <w:shd w:val="clear" w:color="auto" w:fill="FFFFFF"/>
            <w:vAlign w:val="center"/>
            <w:hideMark/>
          </w:tcPr>
          <w:p w14:paraId="38A754FA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0673BEA2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počet druhov/16 m</w:t>
            </w: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14:paraId="21650F17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najmenej 5 druhov</w:t>
            </w:r>
          </w:p>
        </w:tc>
        <w:tc>
          <w:tcPr>
            <w:tcW w:w="3830" w:type="dxa"/>
            <w:shd w:val="clear" w:color="auto" w:fill="FFFFFF"/>
            <w:vAlign w:val="center"/>
            <w:hideMark/>
          </w:tcPr>
          <w:p w14:paraId="3D00AEB6" w14:textId="277479BE" w:rsidR="00C01F23" w:rsidRPr="00A6762A" w:rsidRDefault="00C01F23" w:rsidP="00A676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Charakteristické/typické druhové zloženie:</w:t>
            </w:r>
            <w:r w:rsidR="00A6762A"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 </w:t>
            </w:r>
            <w:r w:rsidRPr="00A676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Amelanchier ovalis, Bupleurum affine, Cerasus fruticosa, Cerasus mahaleb, Convolvulus cantabrica, Cornus mas, Cotoneaster integerrimus, Crataegus monogyna, Euonymus verrucosus, Fraxinus ornus, Geranium sanguineum, Inula ensifolia, Isatis campestris,</w:t>
            </w:r>
            <w:r w:rsidR="00A676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Laser trilobum, Linaria pallidi</w:t>
            </w:r>
            <w:r w:rsidRPr="00A676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flora, Prunus spinosa, Quercus pubescens, Rosa gal</w:t>
            </w:r>
            <w:r w:rsidR="00A676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l</w:t>
            </w:r>
            <w:r w:rsidRPr="00A676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>ica, Rosa pimpinellifolia, Staphylea pinnata, Teucrium chamaedrys, Viccia tenuifolia, Vincetoxicum hirundinaria</w:t>
            </w:r>
          </w:p>
        </w:tc>
      </w:tr>
      <w:tr w:rsidR="00C01F23" w:rsidRPr="00A6762A" w14:paraId="23633226" w14:textId="77777777" w:rsidTr="00A6762A">
        <w:trPr>
          <w:trHeight w:val="290"/>
        </w:trPr>
        <w:tc>
          <w:tcPr>
            <w:tcW w:w="2909" w:type="dxa"/>
            <w:shd w:val="clear" w:color="auto" w:fill="FFFFFF"/>
            <w:vAlign w:val="center"/>
            <w:hideMark/>
          </w:tcPr>
          <w:p w14:paraId="245D9530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35311AF8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pokrytia krovín a drevín /plocha biotopu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14:paraId="37E46F57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viac ako 50 % krovín, menej ako 20 % drevín</w:t>
            </w:r>
          </w:p>
        </w:tc>
        <w:tc>
          <w:tcPr>
            <w:tcW w:w="3830" w:type="dxa"/>
            <w:shd w:val="clear" w:color="auto" w:fill="FFFFFF"/>
            <w:vAlign w:val="center"/>
            <w:hideMark/>
          </w:tcPr>
          <w:p w14:paraId="51902EE0" w14:textId="77777777" w:rsidR="00C01F23" w:rsidRPr="00A6762A" w:rsidRDefault="00C01F23" w:rsidP="00A676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C01F23" w:rsidRPr="00A6762A" w14:paraId="612F29C7" w14:textId="77777777" w:rsidTr="00A6762A">
        <w:trPr>
          <w:trHeight w:val="850"/>
        </w:trPr>
        <w:tc>
          <w:tcPr>
            <w:tcW w:w="2909" w:type="dxa"/>
            <w:shd w:val="clear" w:color="auto" w:fill="FFFFFF"/>
            <w:vAlign w:val="center"/>
            <w:hideMark/>
          </w:tcPr>
          <w:p w14:paraId="2F87AF6D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Zastúpenie alochtónnych/inváznych/invázne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0361B75A" w14:textId="77777777" w:rsidR="00C01F23" w:rsidRPr="00A6762A" w:rsidRDefault="00C01F23" w:rsidP="00A676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percento pokrytia/25 m</w:t>
            </w: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26" w:type="dxa"/>
            <w:shd w:val="clear" w:color="auto" w:fill="FFFFFF"/>
            <w:vAlign w:val="center"/>
            <w:hideMark/>
          </w:tcPr>
          <w:p w14:paraId="56C3A780" w14:textId="77777777" w:rsidR="00C01F23" w:rsidRPr="00A6762A" w:rsidRDefault="00C01F23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menej ako 1 %</w:t>
            </w:r>
          </w:p>
        </w:tc>
        <w:tc>
          <w:tcPr>
            <w:tcW w:w="3830" w:type="dxa"/>
            <w:shd w:val="clear" w:color="auto" w:fill="FFFFFF"/>
            <w:vAlign w:val="center"/>
            <w:hideMark/>
          </w:tcPr>
          <w:p w14:paraId="2AFDAEFF" w14:textId="647CB687" w:rsidR="00C01F23" w:rsidRPr="00A6762A" w:rsidRDefault="00C01F23" w:rsidP="00A676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</w:pP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>Minimálne zastúpenie expanzívnych druhov</w:t>
            </w:r>
            <w:r w:rsidRPr="00A676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sk-SK"/>
              </w:rPr>
              <w:t xml:space="preserve"> Arrhenatherum elatius, Calamagrostis epigejos, </w:t>
            </w:r>
            <w:r w:rsidRPr="00A6762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sk-SK"/>
              </w:rPr>
              <w:t xml:space="preserve">minim. zastúpenie inváznych druhov (napr. </w:t>
            </w:r>
            <w:r w:rsidRPr="00A6762A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 xml:space="preserve">Aster </w:t>
            </w:r>
            <w:r w:rsidR="00A6762A" w:rsidRPr="00A6762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sp.</w:t>
            </w:r>
            <w:r w:rsidR="002A0718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, Solidago gigant</w:t>
            </w:r>
            <w:r w:rsidRPr="00A6762A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ea, Ailanthus altissima, Negundo aceroides</w:t>
            </w:r>
            <w:r w:rsidRPr="00A6762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).</w:t>
            </w:r>
          </w:p>
        </w:tc>
      </w:tr>
    </w:tbl>
    <w:p w14:paraId="4B7AB665" w14:textId="4E849BC4" w:rsidR="00C01F23" w:rsidRDefault="00C01F23" w:rsidP="00A6762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4692AFB" w14:textId="77777777" w:rsidR="003F7DCE" w:rsidRPr="00626A09" w:rsidRDefault="003F7DCE" w:rsidP="002A071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r w:rsidRPr="00BE203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Lucanus cervus</w:t>
      </w:r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5103"/>
      </w:tblGrid>
      <w:tr w:rsidR="003F7DCE" w:rsidRPr="002A0718" w14:paraId="11A3D4EF" w14:textId="77777777" w:rsidTr="00A6762A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8B9E" w14:textId="77777777" w:rsidR="003F7DCE" w:rsidRPr="002A0718" w:rsidRDefault="003F7DCE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FB38" w14:textId="77777777" w:rsidR="003F7DCE" w:rsidRPr="002A0718" w:rsidRDefault="003F7DCE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96D7" w14:textId="77777777" w:rsidR="003F7DCE" w:rsidRPr="002A0718" w:rsidRDefault="003F7DCE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ADEB" w14:textId="77777777" w:rsidR="003F7DCE" w:rsidRPr="002A0718" w:rsidRDefault="003F7DCE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3F7DCE" w:rsidRPr="002A0718" w14:paraId="275D3792" w14:textId="77777777" w:rsidTr="00A6762A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004" w14:textId="4D207714" w:rsidR="003F7DCE" w:rsidRPr="002A0718" w:rsidRDefault="00A6762A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</w:t>
            </w:r>
            <w:r w:rsidR="003F7DCE"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D653" w14:textId="77777777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Druhom obsadené stromy – počet stromov/ha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0512" w14:textId="77777777" w:rsidR="003F7DCE" w:rsidRPr="002A0718" w:rsidRDefault="003F7DCE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1 strom/ha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51FE" w14:textId="5559522E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Udržiavaná veľkosť populácie, v súčasnosti odhadovaná na</w:t>
            </w:r>
            <w:r w:rsidR="00A6762A"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veľkosť populácie 100 – 1000 jedincov (aktuál</w:t>
            </w:r>
            <w:r w:rsidR="00A6762A"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</w:t>
            </w: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y údaj / z SDF)</w:t>
            </w:r>
          </w:p>
        </w:tc>
      </w:tr>
      <w:tr w:rsidR="003F7DCE" w:rsidRPr="002A0718" w14:paraId="5D48DF3D" w14:textId="77777777" w:rsidTr="00A6762A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BA7" w14:textId="18B4A93E" w:rsidR="003F7DCE" w:rsidRPr="002A0718" w:rsidRDefault="00A6762A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R</w:t>
            </w:r>
            <w:r w:rsidR="003F7DCE"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ozloha biotopu výskytu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7AC" w14:textId="77777777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B1CD" w14:textId="41475172" w:rsidR="0069499D" w:rsidRPr="002A0718" w:rsidRDefault="0069499D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A08" w14:textId="77777777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Staršie lesy poloprírodného až pralesovitého charakteru. </w:t>
            </w:r>
          </w:p>
        </w:tc>
      </w:tr>
      <w:tr w:rsidR="003F7DCE" w:rsidRPr="002A0718" w14:paraId="18632D26" w14:textId="77777777" w:rsidTr="00A6762A">
        <w:trPr>
          <w:trHeight w:val="6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90D" w14:textId="77777777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Kvalita biotopu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E529" w14:textId="77777777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ponechaných starších jedincov drevín nad 80 rokov/ha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1CC7" w14:textId="77777777" w:rsidR="003F7DCE" w:rsidRPr="002A0718" w:rsidRDefault="003F7DCE" w:rsidP="00A676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20 stromov/ha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1B0" w14:textId="77777777" w:rsidR="003F7DCE" w:rsidRPr="002A0718" w:rsidRDefault="003F7DCE" w:rsidP="00A6762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A0718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Zachovať alebo dosiahnuť považovaný počet stromov na ha.</w:t>
            </w:r>
          </w:p>
        </w:tc>
      </w:tr>
    </w:tbl>
    <w:p w14:paraId="50589740" w14:textId="77777777" w:rsidR="003F7DCE" w:rsidRDefault="003F7DCE" w:rsidP="00A6762A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3F7DCE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026F3" w14:textId="77777777" w:rsidR="000A1093" w:rsidRDefault="000A1093" w:rsidP="009049B7">
      <w:pPr>
        <w:spacing w:line="240" w:lineRule="auto"/>
      </w:pPr>
      <w:r>
        <w:separator/>
      </w:r>
    </w:p>
  </w:endnote>
  <w:endnote w:type="continuationSeparator" w:id="0">
    <w:p w14:paraId="78503F09" w14:textId="77777777" w:rsidR="000A1093" w:rsidRDefault="000A1093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B3AC626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AC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FE40B25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93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535E" w14:textId="77777777" w:rsidR="000A1093" w:rsidRDefault="000A1093" w:rsidP="009049B7">
      <w:pPr>
        <w:spacing w:line="240" w:lineRule="auto"/>
      </w:pPr>
      <w:r>
        <w:separator/>
      </w:r>
    </w:p>
  </w:footnote>
  <w:footnote w:type="continuationSeparator" w:id="0">
    <w:p w14:paraId="6BE2AAED" w14:textId="77777777" w:rsidR="000A1093" w:rsidRDefault="000A1093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435E1"/>
    <w:rsid w:val="00052428"/>
    <w:rsid w:val="00083EE4"/>
    <w:rsid w:val="000864BD"/>
    <w:rsid w:val="00086B26"/>
    <w:rsid w:val="000878B5"/>
    <w:rsid w:val="00090147"/>
    <w:rsid w:val="00094CA5"/>
    <w:rsid w:val="000A0F1F"/>
    <w:rsid w:val="000A1093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8AC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77F34"/>
    <w:rsid w:val="002822A5"/>
    <w:rsid w:val="0028246D"/>
    <w:rsid w:val="00286C9F"/>
    <w:rsid w:val="0029101B"/>
    <w:rsid w:val="00291970"/>
    <w:rsid w:val="00294945"/>
    <w:rsid w:val="002A0718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A434C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3F7DCE"/>
    <w:rsid w:val="00402048"/>
    <w:rsid w:val="00403089"/>
    <w:rsid w:val="00410136"/>
    <w:rsid w:val="00410FDB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D3651"/>
    <w:rsid w:val="005E0AC7"/>
    <w:rsid w:val="00613454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9499D"/>
    <w:rsid w:val="006A7FF1"/>
    <w:rsid w:val="006B1634"/>
    <w:rsid w:val="006C0E08"/>
    <w:rsid w:val="006C5E17"/>
    <w:rsid w:val="006D5E23"/>
    <w:rsid w:val="006E2639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1A50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6762A"/>
    <w:rsid w:val="00A86869"/>
    <w:rsid w:val="00AA7ABF"/>
    <w:rsid w:val="00AC1A64"/>
    <w:rsid w:val="00AC2AC0"/>
    <w:rsid w:val="00AC77FB"/>
    <w:rsid w:val="00AD0193"/>
    <w:rsid w:val="00AD4A0A"/>
    <w:rsid w:val="00AE0B49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56EF1"/>
    <w:rsid w:val="00B61916"/>
    <w:rsid w:val="00B627A0"/>
    <w:rsid w:val="00B668A7"/>
    <w:rsid w:val="00B83296"/>
    <w:rsid w:val="00B856A2"/>
    <w:rsid w:val="00B87490"/>
    <w:rsid w:val="00B960E4"/>
    <w:rsid w:val="00BA15D7"/>
    <w:rsid w:val="00BA5A56"/>
    <w:rsid w:val="00BA75B0"/>
    <w:rsid w:val="00BB3162"/>
    <w:rsid w:val="00BB4BFD"/>
    <w:rsid w:val="00BB56FE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1F23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4EA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23D7B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2EFE"/>
    <w:rsid w:val="00F133CE"/>
    <w:rsid w:val="00F17982"/>
    <w:rsid w:val="00F217F9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A5F0-C0B9-40EA-8C98-DCA42373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10</cp:revision>
  <dcterms:created xsi:type="dcterms:W3CDTF">2023-11-09T19:06:00Z</dcterms:created>
  <dcterms:modified xsi:type="dcterms:W3CDTF">2024-01-09T08:51:00Z</dcterms:modified>
</cp:coreProperties>
</file>