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62A914E7" w:rsidR="002822A5" w:rsidRDefault="002822A5" w:rsidP="005E7E40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6E5FC2">
        <w:rPr>
          <w:rFonts w:ascii="Times New Roman" w:hAnsi="Times New Roman" w:cs="Times New Roman"/>
          <w:b/>
        </w:rPr>
        <w:t>068</w:t>
      </w:r>
      <w:r w:rsidR="00C43C56">
        <w:rPr>
          <w:rFonts w:ascii="Times New Roman" w:hAnsi="Times New Roman" w:cs="Times New Roman"/>
          <w:b/>
        </w:rPr>
        <w:t xml:space="preserve"> </w:t>
      </w:r>
      <w:r w:rsidR="006E5FC2">
        <w:rPr>
          <w:rFonts w:ascii="Times New Roman" w:hAnsi="Times New Roman" w:cs="Times New Roman"/>
          <w:b/>
        </w:rPr>
        <w:t xml:space="preserve">Jurský </w:t>
      </w:r>
      <w:proofErr w:type="spellStart"/>
      <w:r w:rsidR="006E5FC2">
        <w:rPr>
          <w:rFonts w:ascii="Times New Roman" w:hAnsi="Times New Roman" w:cs="Times New Roman"/>
          <w:b/>
        </w:rPr>
        <w:t>chlm</w:t>
      </w:r>
      <w:proofErr w:type="spellEnd"/>
    </w:p>
    <w:p w14:paraId="21BD4E99" w14:textId="77777777" w:rsidR="002822A5" w:rsidRPr="00DC071D" w:rsidRDefault="002822A5" w:rsidP="005E7E40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392E6F4E" w:rsidR="002822A5" w:rsidRDefault="002822A5" w:rsidP="005E7E40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4570DEC0" w14:textId="47FB84E5" w:rsidR="006E5FC2" w:rsidRDefault="006E5FC2" w:rsidP="005E7E40">
      <w:pPr>
        <w:spacing w:line="240" w:lineRule="auto"/>
        <w:rPr>
          <w:rFonts w:ascii="Times New Roman" w:hAnsi="Times New Roman" w:cs="Times New Roman"/>
          <w:b/>
        </w:rPr>
      </w:pPr>
    </w:p>
    <w:p w14:paraId="26E87173" w14:textId="2F890A80" w:rsidR="002F7C49" w:rsidRDefault="002F7C49" w:rsidP="005E7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3C1D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 w:rsidRPr="00D33C1D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Tr3 (625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D33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Panónske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bylinné</w:t>
      </w:r>
      <w:proofErr w:type="spellEnd"/>
      <w:r w:rsidRPr="00D33C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porasty na spraši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parametrov: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602"/>
        <w:gridCol w:w="1134"/>
        <w:gridCol w:w="4394"/>
      </w:tblGrid>
      <w:tr w:rsidR="002F7C49" w:rsidRPr="005E7E40" w14:paraId="7ED95459" w14:textId="77777777" w:rsidTr="005E7E40">
        <w:trPr>
          <w:trHeight w:val="705"/>
        </w:trPr>
        <w:tc>
          <w:tcPr>
            <w:tcW w:w="1942" w:type="dxa"/>
            <w:shd w:val="clear" w:color="auto" w:fill="auto"/>
            <w:vAlign w:val="center"/>
            <w:hideMark/>
          </w:tcPr>
          <w:p w14:paraId="196DC959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14:paraId="23D21734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D0DE63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0F05427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2F7C49" w:rsidRPr="005E7E40" w14:paraId="02D30010" w14:textId="77777777" w:rsidTr="005E7E40">
        <w:trPr>
          <w:trHeight w:val="290"/>
        </w:trPr>
        <w:tc>
          <w:tcPr>
            <w:tcW w:w="1942" w:type="dxa"/>
            <w:shd w:val="clear" w:color="auto" w:fill="auto"/>
            <w:vAlign w:val="center"/>
            <w:hideMark/>
          </w:tcPr>
          <w:p w14:paraId="7285E805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14:paraId="1622F43E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09BB4" w14:textId="02B2948A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12,85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0623688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existujúcu výmeru biotopu. </w:t>
            </w:r>
          </w:p>
        </w:tc>
      </w:tr>
      <w:tr w:rsidR="002F7C49" w:rsidRPr="005E7E40" w14:paraId="2C2EF78F" w14:textId="77777777" w:rsidTr="005E7E40">
        <w:trPr>
          <w:trHeight w:val="563"/>
        </w:trPr>
        <w:tc>
          <w:tcPr>
            <w:tcW w:w="1942" w:type="dxa"/>
            <w:shd w:val="clear" w:color="auto" w:fill="auto"/>
            <w:vAlign w:val="center"/>
            <w:hideMark/>
          </w:tcPr>
          <w:p w14:paraId="73B614A4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14:paraId="2B42C594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A27BD5" w14:textId="64E2FFB1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5 druhov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37575A4" w14:textId="1D1FB803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druhy: 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Adonis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vernalis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paniculatum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paniculatum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Astragalus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austriacus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Astragalus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exscapus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Bassia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prostrata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inermis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Elytrigia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Falcaria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rupicola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valesiaca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glaucum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Hypericum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elegans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Peucedanum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alsaticum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Phelipanche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arenaria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Phlomis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tuberosa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nemorosa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Seseli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pallasii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Stipa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capillata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Stipa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joannis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serotinum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tommasinianus</w:t>
            </w:r>
            <w:proofErr w:type="spellEnd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ambigua</w:t>
            </w:r>
            <w:proofErr w:type="spellEnd"/>
          </w:p>
        </w:tc>
      </w:tr>
      <w:tr w:rsidR="002F7C49" w:rsidRPr="005E7E40" w14:paraId="745B24B9" w14:textId="77777777" w:rsidTr="005E7E40">
        <w:trPr>
          <w:trHeight w:val="290"/>
        </w:trPr>
        <w:tc>
          <w:tcPr>
            <w:tcW w:w="1942" w:type="dxa"/>
            <w:shd w:val="clear" w:color="auto" w:fill="auto"/>
            <w:vAlign w:val="center"/>
            <w:hideMark/>
          </w:tcPr>
          <w:p w14:paraId="20DC00C4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14:paraId="3316348C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AB46D" w14:textId="73780768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818A412" w14:textId="77777777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Dosiahnuté minimálne zastúpenie drevín v biotope.</w:t>
            </w:r>
          </w:p>
        </w:tc>
      </w:tr>
      <w:tr w:rsidR="002F7C49" w:rsidRPr="005E7E40" w14:paraId="15D856E5" w14:textId="77777777" w:rsidTr="005E7E40">
        <w:trPr>
          <w:trHeight w:val="404"/>
        </w:trPr>
        <w:tc>
          <w:tcPr>
            <w:tcW w:w="1942" w:type="dxa"/>
            <w:shd w:val="clear" w:color="auto" w:fill="auto"/>
            <w:vAlign w:val="center"/>
            <w:hideMark/>
          </w:tcPr>
          <w:p w14:paraId="679CB368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/</w:t>
            </w:r>
          </w:p>
          <w:p w14:paraId="019B93B2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inváznych/invázne sa správajúcich druhov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14:paraId="487DD141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1904B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B995ED9" w14:textId="5EC12660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Bez výskytu nepôvodných a inváznych druhov na území.</w:t>
            </w:r>
          </w:p>
        </w:tc>
      </w:tr>
    </w:tbl>
    <w:p w14:paraId="1D077DB0" w14:textId="558AAE29" w:rsidR="002F7C49" w:rsidRDefault="002F7C49" w:rsidP="005E7E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737AEF" w14:textId="6A149646" w:rsidR="00987B7C" w:rsidRPr="005E7E40" w:rsidRDefault="006E5FC2" w:rsidP="005E7E4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E7E40">
        <w:rPr>
          <w:rFonts w:ascii="Times New Roman" w:hAnsi="Times New Roman" w:cs="Times New Roman"/>
          <w:color w:val="000000"/>
          <w:sz w:val="24"/>
        </w:rPr>
        <w:t xml:space="preserve">Zlepšenie </w:t>
      </w:r>
      <w:r w:rsidR="00987B7C" w:rsidRPr="005E7E40">
        <w:rPr>
          <w:rFonts w:ascii="Times New Roman" w:hAnsi="Times New Roman" w:cs="Times New Roman"/>
          <w:color w:val="000000"/>
          <w:sz w:val="24"/>
        </w:rPr>
        <w:t xml:space="preserve">stavu biotopu </w:t>
      </w:r>
      <w:r w:rsidR="0053015E" w:rsidRPr="005E7E40">
        <w:rPr>
          <w:rFonts w:ascii="Times New Roman" w:hAnsi="Times New Roman" w:cs="Times New Roman"/>
          <w:b/>
          <w:color w:val="000000"/>
          <w:sz w:val="24"/>
        </w:rPr>
        <w:t>Sl1</w:t>
      </w:r>
      <w:r w:rsidR="00987B7C" w:rsidRPr="005E7E40">
        <w:rPr>
          <w:rFonts w:ascii="Times New Roman" w:hAnsi="Times New Roman" w:cs="Times New Roman"/>
          <w:b/>
          <w:color w:val="000000"/>
          <w:sz w:val="24"/>
        </w:rPr>
        <w:t xml:space="preserve"> (1340*) </w:t>
      </w:r>
      <w:r w:rsidR="0053015E" w:rsidRPr="005E7E40">
        <w:rPr>
          <w:rFonts w:ascii="Times New Roman" w:hAnsi="Times New Roman" w:cs="Times New Roman"/>
          <w:b/>
          <w:color w:val="000000"/>
          <w:sz w:val="24"/>
        </w:rPr>
        <w:t xml:space="preserve">Vnútrozemské </w:t>
      </w:r>
      <w:proofErr w:type="spellStart"/>
      <w:r w:rsidR="00987B7C" w:rsidRPr="005E7E40">
        <w:rPr>
          <w:rFonts w:ascii="Times New Roman" w:hAnsi="Times New Roman" w:cs="Times New Roman"/>
          <w:b/>
          <w:color w:val="000000"/>
          <w:sz w:val="24"/>
        </w:rPr>
        <w:t>slaniská</w:t>
      </w:r>
      <w:proofErr w:type="spellEnd"/>
      <w:r w:rsidR="0053015E" w:rsidRPr="005E7E40">
        <w:rPr>
          <w:rFonts w:ascii="Times New Roman" w:hAnsi="Times New Roman" w:cs="Times New Roman"/>
          <w:b/>
          <w:color w:val="000000"/>
          <w:sz w:val="24"/>
        </w:rPr>
        <w:t xml:space="preserve"> a slané lúky</w:t>
      </w:r>
      <w:r w:rsidR="00987B7C" w:rsidRPr="005E7E40">
        <w:rPr>
          <w:rFonts w:ascii="Times New Roman" w:hAnsi="Times New Roman" w:cs="Times New Roman"/>
          <w:color w:val="000000"/>
          <w:sz w:val="24"/>
        </w:rPr>
        <w:t xml:space="preserve"> 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4536"/>
      </w:tblGrid>
      <w:tr w:rsidR="00987B7C" w:rsidRPr="005E7E40" w14:paraId="1329D97D" w14:textId="77777777" w:rsidTr="005E7E40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5E7E40" w:rsidRDefault="00987B7C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5E7E40" w14:paraId="067BB718" w14:textId="77777777" w:rsidTr="005E7E40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5936251D" w:rsidR="00987B7C" w:rsidRPr="005E7E40" w:rsidRDefault="006E5FC2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5E7E40" w:rsidRDefault="00C43C56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5E7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5E7E40" w14:paraId="556F0030" w14:textId="77777777" w:rsidTr="005E7E40">
        <w:trPr>
          <w:trHeight w:val="10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5E7E40" w:rsidRDefault="00987B7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5E7E40" w:rsidRDefault="00987B7C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4767F21D" w:rsidR="00987B7C" w:rsidRPr="005E7E40" w:rsidRDefault="00987B7C" w:rsidP="005E7E4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brachycephalum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Galatella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cana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Galatella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punctata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Glaux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alopecuroides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Hordeum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geniculatum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Pholiurus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pannonicus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pedatus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Scorzonera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doria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5E7E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5E7E40" w14:paraId="75EE4A99" w14:textId="77777777" w:rsidTr="005E7E40">
        <w:trPr>
          <w:trHeight w:val="26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5E7E40" w:rsidRDefault="00987B7C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5E7E40" w14:paraId="41273159" w14:textId="77777777" w:rsidTr="005E7E40">
        <w:trPr>
          <w:trHeight w:val="1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5E7E40" w:rsidRDefault="00987B7C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371641C2" w:rsidR="00987B7C" w:rsidRPr="005E7E40" w:rsidRDefault="00987B7C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5E7E40" w:rsidRDefault="005835E4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5E7E40">
      <w:pPr>
        <w:rPr>
          <w:rFonts w:ascii="Times New Roman" w:hAnsi="Times New Roman" w:cs="Times New Roman"/>
        </w:rPr>
      </w:pPr>
    </w:p>
    <w:p w14:paraId="46F79FAE" w14:textId="04005E8F" w:rsidR="002F7C49" w:rsidRDefault="002F7C49" w:rsidP="005E7E4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4961"/>
      </w:tblGrid>
      <w:tr w:rsidR="002F7C49" w:rsidRPr="005E7E40" w14:paraId="3265DE9D" w14:textId="77777777" w:rsidTr="005E7E40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ADE1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5825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6140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BDF9" w14:textId="77777777" w:rsidR="002F7C49" w:rsidRPr="005E7E40" w:rsidRDefault="002F7C49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F7C49" w:rsidRPr="005E7E40" w14:paraId="6AC5D93C" w14:textId="77777777" w:rsidTr="005E7E40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8C2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509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AB5" w14:textId="1CCB3151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C76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biotopu. </w:t>
            </w:r>
          </w:p>
        </w:tc>
      </w:tr>
      <w:tr w:rsidR="002F7C49" w:rsidRPr="005E7E40" w14:paraId="74EE345A" w14:textId="77777777" w:rsidTr="005E7E40">
        <w:trPr>
          <w:trHeight w:val="16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1FE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F608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2B2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C92" w14:textId="77777777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Blysmus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compressus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davalliana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dioica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lepidocarpa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flava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Dactylorhiza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incarnata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Dactylorhiza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majalis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Eleocharis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quinqueflora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Epipactis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palustris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Eriophorum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angustifolium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Eriophorum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latifolium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Gymnadenia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densiflora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Juncus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subnodulosus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Parnassia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palustris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,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Pedicularis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palustris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Primulla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farinosa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Caltha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palustris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Drosera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rotundifolia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Succisa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Sesleria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caerulea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Triglochin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palustre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Valeriana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dioica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Vaeriana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simplicifolia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,</w:t>
            </w:r>
          </w:p>
          <w:p w14:paraId="1861A471" w14:textId="77777777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Machorasty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:</w:t>
            </w:r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Calliergonella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cuspidata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Campylium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stellatum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Bryum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pseudotriquetrum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Drepanocladus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cossonii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Hypnum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Tomenthypnum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nitens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2F7C49" w:rsidRPr="005E7E40" w14:paraId="22AEB9CB" w14:textId="77777777" w:rsidTr="005E7E40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E76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91D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E4E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7F9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krovín.</w:t>
            </w:r>
          </w:p>
        </w:tc>
      </w:tr>
      <w:tr w:rsidR="002F7C49" w:rsidRPr="005E7E40" w14:paraId="43DD4AC0" w14:textId="77777777" w:rsidTr="005E7E40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E86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D2FD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240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5FE3" w14:textId="77777777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druhov (zastúpenie súvislých porastov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Molinia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.). </w:t>
            </w:r>
          </w:p>
        </w:tc>
      </w:tr>
      <w:tr w:rsidR="002F7C49" w:rsidRPr="005E7E40" w14:paraId="158BA761" w14:textId="77777777" w:rsidTr="005E7E40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85F0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808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C518" w14:textId="77777777" w:rsidR="002F7C49" w:rsidRPr="005E7E40" w:rsidRDefault="002F7C49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E74F" w14:textId="77777777" w:rsidR="002F7C49" w:rsidRPr="005E7E40" w:rsidRDefault="002F7C49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V rámci biotopu sa vyskytujú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šlenky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alebo iné terénne depresie s vodou, bez evidentného výskytu presychania alebo odvodňovacích zásahov.</w:t>
            </w:r>
          </w:p>
        </w:tc>
      </w:tr>
    </w:tbl>
    <w:p w14:paraId="5D4E4109" w14:textId="77777777" w:rsidR="002F7C49" w:rsidRDefault="002F7C49" w:rsidP="005E7E4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F41BB" w14:textId="255C3447" w:rsidR="00AD5D0E" w:rsidRPr="00775056" w:rsidRDefault="00AD5D0E" w:rsidP="005E7E4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5E7E40">
        <w:rPr>
          <w:rFonts w:ascii="Times New Roman" w:hAnsi="Times New Roman" w:cs="Times New Roman"/>
          <w:color w:val="000000"/>
          <w:sz w:val="24"/>
          <w:szCs w:val="24"/>
        </w:rPr>
        <w:t>biot</w:t>
      </w:r>
      <w:bookmarkStart w:id="0" w:name="_GoBack"/>
      <w:bookmarkEnd w:id="0"/>
      <w:r w:rsidRPr="005E7E40">
        <w:rPr>
          <w:rFonts w:ascii="Times New Roman" w:hAnsi="Times New Roman" w:cs="Times New Roman"/>
          <w:color w:val="000000"/>
          <w:sz w:val="24"/>
          <w:szCs w:val="24"/>
        </w:rPr>
        <w:t>opu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AD5D0E" w:rsidRPr="005E7E40" w14:paraId="504F0F6F" w14:textId="77777777" w:rsidTr="005E7E40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BCF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3C7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203E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A65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D5D0E" w:rsidRPr="005E7E40" w14:paraId="2782529C" w14:textId="77777777" w:rsidTr="005E7E40">
        <w:trPr>
          <w:trHeight w:val="2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EC1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507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01C" w14:textId="61753A85" w:rsidR="00AD5D0E" w:rsidRPr="005E7E40" w:rsidRDefault="006E5FC2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20,9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1AC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AD5D0E" w:rsidRPr="005E7E40" w14:paraId="3DDFEF39" w14:textId="77777777" w:rsidTr="005E7E40">
        <w:trPr>
          <w:trHeight w:val="46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D51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3AD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939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6B2" w14:textId="77777777" w:rsidR="00AD5D0E" w:rsidRPr="005E7E40" w:rsidRDefault="00AD5D0E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Acetosella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Agrimonia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eupatoria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Agrostis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capillaris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Achillea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millefolium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Alchemilla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sp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Antoxanthum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odoratum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Arrhenatherum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elatius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Briza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Campanula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patula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hirta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pallescens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tomentosa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Carlina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acaulis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carvi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Cerastium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holosteoides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Colchicum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autumnale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Colymbada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scabiosa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Crepis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biennis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Cruciata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glabra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Cynosurus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cristatus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Dactylis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glomerata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Daucus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carota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Deschampsia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cespitosa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Equisetum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rubra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rupicola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Filipendula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Fragaria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viridis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mollugo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agg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verum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Hypericum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maculatum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Hypericum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perforatum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Jacea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phrygia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agg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. 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Jacea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Knautia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Lathyrus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Leontodon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hispidus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Leontodon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autumnalis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Leucanthemum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Linum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catharticum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Lotus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corniculatus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Luzula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campestris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Lychnis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flos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-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cuculi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Medicago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lupulina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Myosotis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Origanum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Pastinaca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sativa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Phleum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Pilosella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officinarum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Pimpinella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major,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Pimpinella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saxifraga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lanceolata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Polygala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argentea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erecta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reptans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Prunella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polyanthemos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repens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Rhinanthus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minor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Salvia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Sanguisorba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minor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Securigera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varia, Silene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Stellaria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graminea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Taraxacum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officinale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Thymus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pulegioides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Tithymalus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cyparissias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Tragopogon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orientalis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montanum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repens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Trisetum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flavescens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Veronica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chamaedrys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Vicia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cracca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Vicia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sepium</w:t>
            </w:r>
            <w:proofErr w:type="spellEnd"/>
          </w:p>
        </w:tc>
      </w:tr>
      <w:tr w:rsidR="00AD5D0E" w:rsidRPr="005E7E40" w14:paraId="284AA301" w14:textId="77777777" w:rsidTr="005E7E40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F43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A36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089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638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AD5D0E" w:rsidRPr="005E7E40" w14:paraId="486CD901" w14:textId="77777777" w:rsidTr="005E7E40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CFA" w14:textId="5293BFC0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/inváznych/</w:t>
            </w:r>
            <w:r w:rsid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invázne sa 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4D4" w14:textId="77777777" w:rsidR="00AD5D0E" w:rsidRPr="005E7E40" w:rsidRDefault="00AD5D0E" w:rsidP="005E7E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percento pokrytia/25 m</w:t>
            </w: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2F9" w14:textId="77777777" w:rsidR="00AD5D0E" w:rsidRPr="005E7E40" w:rsidRDefault="00AD5D0E" w:rsidP="005E7E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8A5" w14:textId="77777777" w:rsidR="00AD5D0E" w:rsidRPr="005E7E40" w:rsidRDefault="00AD5D0E" w:rsidP="005E7E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druhov</w:t>
            </w:r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Calamagrostis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epigejos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canadensis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gigantea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Stenactis</w:t>
            </w:r>
            <w:proofErr w:type="spellEnd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E7E4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annua</w:t>
            </w:r>
            <w:proofErr w:type="spellEnd"/>
          </w:p>
        </w:tc>
      </w:tr>
    </w:tbl>
    <w:p w14:paraId="12CDC6E5" w14:textId="77777777" w:rsidR="00AD5D0E" w:rsidRDefault="00AD5D0E" w:rsidP="005E7E4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47F25" w14:textId="0930110E" w:rsidR="000F294C" w:rsidRDefault="000F294C" w:rsidP="005E7E40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Cirsium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brachycephalum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1819"/>
        <w:gridCol w:w="2064"/>
        <w:gridCol w:w="3747"/>
      </w:tblGrid>
      <w:tr w:rsidR="000F294C" w:rsidRPr="005E7E40" w14:paraId="48B95B69" w14:textId="77777777" w:rsidTr="005E7E40">
        <w:trPr>
          <w:trHeight w:val="3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A69" w14:textId="77777777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0D4F" w14:textId="77777777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6E42" w14:textId="77777777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BCA9" w14:textId="77777777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0F294C" w:rsidRPr="005E7E40" w14:paraId="79E53CC9" w14:textId="77777777" w:rsidTr="005E7E40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B7F2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6881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C912" w14:textId="60782FC5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200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97D3" w14:textId="19FF872D" w:rsidR="000F294C" w:rsidRPr="005E7E40" w:rsidRDefault="000F294C" w:rsidP="005E7E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Zvýšenie populácie druhu zo súčasných 50 až 200 jedincov druhu na min. 200 jedincov.</w:t>
            </w:r>
          </w:p>
        </w:tc>
      </w:tr>
      <w:tr w:rsidR="000F294C" w:rsidRPr="005E7E40" w14:paraId="2FE1E835" w14:textId="77777777" w:rsidTr="005E7E40">
        <w:trPr>
          <w:trHeight w:val="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E1A1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biotopu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CC03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3F7F" w14:textId="4F6FC6BE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</w:t>
            </w:r>
            <w:r w:rsid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ABA6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súčasnú výmeru biotopu druhu.</w:t>
            </w:r>
          </w:p>
        </w:tc>
      </w:tr>
      <w:tr w:rsidR="000F294C" w:rsidRPr="005E7E40" w14:paraId="615C9052" w14:textId="77777777" w:rsidTr="005E7E40">
        <w:trPr>
          <w:trHeight w:val="4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81F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7FF2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drevín %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55A15" w14:textId="77777777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 drevín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D9225" w14:textId="77777777" w:rsidR="000F294C" w:rsidRPr="005E7E40" w:rsidRDefault="000F294C" w:rsidP="005E7E4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 xml:space="preserve">Minimálne </w:t>
            </w:r>
            <w:proofErr w:type="spellStart"/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>sukcesné</w:t>
            </w:r>
            <w:proofErr w:type="spellEnd"/>
            <w:r w:rsidRPr="005E7E4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0F294C" w:rsidRPr="005E7E40" w14:paraId="04C3FC47" w14:textId="77777777" w:rsidTr="005E7E40">
        <w:trPr>
          <w:trHeight w:val="6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5CC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5E7E40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5E7E40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7E2F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D16D" w14:textId="77777777" w:rsidR="000F294C" w:rsidRPr="005E7E40" w:rsidRDefault="000F294C" w:rsidP="005E7E4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E7E40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2249" w14:textId="77777777" w:rsidR="000F294C" w:rsidRPr="005E7E40" w:rsidRDefault="000F294C" w:rsidP="005E7E4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5E7E40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(žiadne) zastúpenie</w:t>
            </w:r>
            <w:r w:rsidRPr="005E7E4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  <w:r w:rsidRPr="005E7E40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inváznych druhov</w:t>
            </w:r>
            <w:r w:rsidRPr="005E7E4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</w:p>
        </w:tc>
      </w:tr>
    </w:tbl>
    <w:p w14:paraId="7B53F643" w14:textId="77777777" w:rsidR="00AD5D0E" w:rsidRDefault="00AD5D0E" w:rsidP="005E7E40">
      <w:pPr>
        <w:rPr>
          <w:rFonts w:ascii="Times New Roman" w:hAnsi="Times New Roman" w:cs="Times New Roman"/>
        </w:rPr>
      </w:pPr>
    </w:p>
    <w:sectPr w:rsidR="00AD5D0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EEEB0" w14:textId="77777777" w:rsidR="00135614" w:rsidRDefault="00135614" w:rsidP="009049B7">
      <w:pPr>
        <w:spacing w:line="240" w:lineRule="auto"/>
      </w:pPr>
      <w:r>
        <w:separator/>
      </w:r>
    </w:p>
  </w:endnote>
  <w:endnote w:type="continuationSeparator" w:id="0">
    <w:p w14:paraId="3950B681" w14:textId="77777777" w:rsidR="00135614" w:rsidRDefault="00135614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5B6C5F3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40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B934223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40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4ED83" w14:textId="77777777" w:rsidR="00135614" w:rsidRDefault="00135614" w:rsidP="009049B7">
      <w:pPr>
        <w:spacing w:line="240" w:lineRule="auto"/>
      </w:pPr>
      <w:r>
        <w:separator/>
      </w:r>
    </w:p>
  </w:footnote>
  <w:footnote w:type="continuationSeparator" w:id="0">
    <w:p w14:paraId="15F654D4" w14:textId="77777777" w:rsidR="00135614" w:rsidRDefault="00135614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0037"/>
    <w:rsid w:val="00052428"/>
    <w:rsid w:val="0008411F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294C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614"/>
    <w:rsid w:val="00135846"/>
    <w:rsid w:val="00165F46"/>
    <w:rsid w:val="00166A90"/>
    <w:rsid w:val="00186C3C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2F7C49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5E7E40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E5FC2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E70A7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46F3"/>
    <w:rsid w:val="00AA7ABF"/>
    <w:rsid w:val="00AC1A64"/>
    <w:rsid w:val="00AC2AC0"/>
    <w:rsid w:val="00AC77FB"/>
    <w:rsid w:val="00AD0193"/>
    <w:rsid w:val="00AD5D0E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167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01BF-6E71-479F-A9D6-563422C9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6</cp:revision>
  <dcterms:created xsi:type="dcterms:W3CDTF">2023-11-09T09:41:00Z</dcterms:created>
  <dcterms:modified xsi:type="dcterms:W3CDTF">2023-12-21T14:18:00Z</dcterms:modified>
</cp:coreProperties>
</file>