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23" w:rsidRPr="00700F12" w:rsidRDefault="00E43A23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 w:rsidRPr="00700F12">
        <w:rPr>
          <w:b/>
          <w:i w:val="0"/>
          <w:color w:val="auto"/>
          <w:sz w:val="28"/>
          <w:szCs w:val="28"/>
        </w:rPr>
        <w:t>C</w:t>
      </w:r>
      <w:r w:rsidR="00700F12" w:rsidRPr="00700F12">
        <w:rPr>
          <w:b/>
          <w:i w:val="0"/>
          <w:color w:val="auto"/>
          <w:sz w:val="28"/>
          <w:szCs w:val="28"/>
        </w:rPr>
        <w:t>iele ochrany</w:t>
      </w:r>
      <w:r w:rsidRPr="00700F12">
        <w:rPr>
          <w:b/>
          <w:i w:val="0"/>
          <w:color w:val="auto"/>
          <w:sz w:val="28"/>
          <w:szCs w:val="28"/>
        </w:rPr>
        <w:t xml:space="preserve"> </w:t>
      </w:r>
      <w:r w:rsidR="00E93949">
        <w:rPr>
          <w:b/>
          <w:bCs/>
          <w:i w:val="0"/>
          <w:color w:val="auto"/>
          <w:sz w:val="28"/>
          <w:szCs w:val="28"/>
        </w:rPr>
        <w:t>SKUEV</w:t>
      </w:r>
      <w:r w:rsidR="0022520E">
        <w:rPr>
          <w:b/>
          <w:bCs/>
          <w:i w:val="0"/>
          <w:color w:val="auto"/>
          <w:sz w:val="28"/>
          <w:szCs w:val="28"/>
        </w:rPr>
        <w:t>00</w:t>
      </w:r>
      <w:r w:rsidR="00E93949">
        <w:rPr>
          <w:b/>
          <w:bCs/>
          <w:i w:val="0"/>
          <w:color w:val="auto"/>
          <w:sz w:val="28"/>
          <w:szCs w:val="28"/>
        </w:rPr>
        <w:t>1</w:t>
      </w:r>
      <w:r w:rsidR="0060686A">
        <w:rPr>
          <w:b/>
          <w:bCs/>
          <w:i w:val="0"/>
          <w:color w:val="auto"/>
          <w:sz w:val="28"/>
          <w:szCs w:val="28"/>
        </w:rPr>
        <w:t>3</w:t>
      </w:r>
      <w:r w:rsidRPr="00700F12">
        <w:rPr>
          <w:b/>
          <w:bCs/>
          <w:i w:val="0"/>
          <w:color w:val="auto"/>
          <w:sz w:val="28"/>
          <w:szCs w:val="28"/>
        </w:rPr>
        <w:t xml:space="preserve"> </w:t>
      </w:r>
      <w:r w:rsidR="0022520E">
        <w:rPr>
          <w:b/>
          <w:bCs/>
          <w:i w:val="0"/>
          <w:color w:val="auto"/>
          <w:sz w:val="28"/>
          <w:szCs w:val="28"/>
        </w:rPr>
        <w:t>Stráž</w:t>
      </w:r>
    </w:p>
    <w:p w:rsidR="00E43A23" w:rsidRDefault="00E43A23" w:rsidP="00E43A23">
      <w:pPr>
        <w:pStyle w:val="Zkladntext"/>
        <w:widowControl w:val="0"/>
        <w:spacing w:after="120"/>
        <w:jc w:val="both"/>
        <w:rPr>
          <w:b w:val="0"/>
        </w:rPr>
      </w:pPr>
    </w:p>
    <w:p w:rsidR="00E43A23" w:rsidRPr="00B6615B" w:rsidRDefault="009248FD" w:rsidP="00E43A23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 xml:space="preserve">Zachovanie </w:t>
      </w:r>
      <w:r w:rsidR="00E43A23" w:rsidRPr="00B6615B">
        <w:rPr>
          <w:b w:val="0"/>
        </w:rPr>
        <w:t xml:space="preserve">stavu </w:t>
      </w:r>
      <w:r w:rsidR="00E43A23" w:rsidRPr="00B6615B">
        <w:t xml:space="preserve">biotopu Ls5.1 </w:t>
      </w:r>
      <w:r w:rsidR="00E43A23" w:rsidRPr="00B6615B">
        <w:rPr>
          <w:bCs w:val="0"/>
          <w:shd w:val="clear" w:color="auto" w:fill="FFFFFF"/>
        </w:rPr>
        <w:t>(</w:t>
      </w:r>
      <w:r w:rsidR="00E43A23" w:rsidRPr="00B6615B">
        <w:rPr>
          <w:lang w:eastAsia="sk-SK"/>
        </w:rPr>
        <w:t>9130</w:t>
      </w:r>
      <w:r w:rsidR="00E43A23" w:rsidRPr="00B6615B">
        <w:rPr>
          <w:bCs w:val="0"/>
          <w:shd w:val="clear" w:color="auto" w:fill="FFFFFF"/>
        </w:rPr>
        <w:t>) Bukové a jedľovo-bukové kvetnaté lesy</w:t>
      </w:r>
      <w:r w:rsidR="00E43A23" w:rsidRPr="00B6615B">
        <w:rPr>
          <w:b w:val="0"/>
        </w:rPr>
        <w:t xml:space="preserve"> za splnenia nasledovných atribútov</w:t>
      </w:r>
      <w:r w:rsidR="00E43A23" w:rsidRPr="00B6615B">
        <w:rPr>
          <w:b w:val="0"/>
          <w:shd w:val="clear" w:color="auto" w:fill="FFFFFF"/>
        </w:rPr>
        <w:t xml:space="preserve">: </w:t>
      </w:r>
    </w:p>
    <w:tbl>
      <w:tblPr>
        <w:tblW w:w="91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/>
      </w:tblPr>
      <w:tblGrid>
        <w:gridCol w:w="2420"/>
        <w:gridCol w:w="1277"/>
        <w:gridCol w:w="1559"/>
        <w:gridCol w:w="3911"/>
      </w:tblGrid>
      <w:tr w:rsidR="00E43A23" w:rsidRPr="00B6615B" w:rsidTr="00E43A23"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3A23" w:rsidRPr="00B6615B" w:rsidRDefault="00E43A23" w:rsidP="00E43A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3A23" w:rsidRPr="00B6615B" w:rsidRDefault="00E43A23" w:rsidP="00E43A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3A23" w:rsidRPr="00B6615B" w:rsidRDefault="00E43A23" w:rsidP="00E43A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3A23" w:rsidRPr="00B6615B" w:rsidRDefault="00E43A23" w:rsidP="00E43A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E43A23" w:rsidRPr="00B6615B" w:rsidTr="00E43A23">
        <w:trPr>
          <w:trHeight w:val="275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Výmera biotopu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65B6D" w:rsidP="00F33CC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  <w:r w:rsidR="00E43A23" w:rsidRPr="00B6615B">
              <w:rPr>
                <w:sz w:val="18"/>
                <w:szCs w:val="18"/>
              </w:rPr>
              <w:t xml:space="preserve"> ha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Min. udržanie existujúcej výmery biotopu v ÚEV.</w:t>
            </w:r>
          </w:p>
        </w:tc>
      </w:tr>
      <w:tr w:rsidR="00E43A23" w:rsidRPr="00B6615B" w:rsidTr="00E43A23">
        <w:trPr>
          <w:trHeight w:val="179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najmenej 80 %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:rsidR="00E43A23" w:rsidRPr="00682CE1" w:rsidRDefault="00682CE1" w:rsidP="00682CE1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682CE1">
              <w:rPr>
                <w:sz w:val="18"/>
                <w:szCs w:val="18"/>
              </w:rPr>
              <w:t xml:space="preserve">4.lvs - </w:t>
            </w:r>
            <w:proofErr w:type="spellStart"/>
            <w:r w:rsidRPr="00682CE1">
              <w:rPr>
                <w:i/>
                <w:sz w:val="18"/>
                <w:szCs w:val="18"/>
              </w:rPr>
              <w:t>Abies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i/>
                <w:sz w:val="18"/>
                <w:szCs w:val="18"/>
              </w:rPr>
              <w:t>alba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240%, </w:t>
            </w:r>
            <w:proofErr w:type="spellStart"/>
            <w:r w:rsidRPr="00682CE1">
              <w:rPr>
                <w:i/>
                <w:sz w:val="18"/>
                <w:szCs w:val="18"/>
              </w:rPr>
              <w:t>Acer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i/>
                <w:sz w:val="18"/>
                <w:szCs w:val="18"/>
              </w:rPr>
              <w:t>campestre</w:t>
            </w:r>
            <w:proofErr w:type="spellEnd"/>
            <w:r w:rsidRPr="00682CE1">
              <w:rPr>
                <w:i/>
                <w:sz w:val="18"/>
                <w:szCs w:val="18"/>
              </w:rPr>
              <w:t>,</w:t>
            </w:r>
            <w:r w:rsidRPr="00682CE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i/>
                <w:sz w:val="18"/>
                <w:szCs w:val="18"/>
              </w:rPr>
              <w:t>A.platanoides</w:t>
            </w:r>
            <w:proofErr w:type="spellEnd"/>
            <w:r w:rsidRPr="00682CE1">
              <w:rPr>
                <w:i/>
                <w:sz w:val="18"/>
                <w:szCs w:val="18"/>
              </w:rPr>
              <w:t>,</w:t>
            </w:r>
            <w:r w:rsidRPr="00682CE1">
              <w:rPr>
                <w:b/>
                <w:i/>
                <w:sz w:val="18"/>
                <w:szCs w:val="18"/>
              </w:rPr>
              <w:t xml:space="preserve"> </w:t>
            </w:r>
            <w:r w:rsidRPr="00682CE1">
              <w:rPr>
                <w:i/>
                <w:sz w:val="18"/>
                <w:szCs w:val="18"/>
              </w:rPr>
              <w:t xml:space="preserve">A. </w:t>
            </w:r>
            <w:proofErr w:type="spellStart"/>
            <w:r w:rsidRPr="00682CE1">
              <w:rPr>
                <w:i/>
                <w:sz w:val="18"/>
                <w:szCs w:val="18"/>
              </w:rPr>
              <w:t>pseudoplatanus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82CE1">
              <w:rPr>
                <w:i/>
                <w:sz w:val="18"/>
                <w:szCs w:val="18"/>
              </w:rPr>
              <w:t>Carpinus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i/>
                <w:sz w:val="18"/>
                <w:szCs w:val="18"/>
              </w:rPr>
              <w:t>betulus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82CE1">
              <w:rPr>
                <w:i/>
                <w:sz w:val="18"/>
                <w:szCs w:val="18"/>
              </w:rPr>
              <w:t>Cerasus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i/>
                <w:sz w:val="18"/>
                <w:szCs w:val="18"/>
              </w:rPr>
              <w:t>avium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82CE1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682CE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82CE1">
              <w:rPr>
                <w:i/>
                <w:sz w:val="18"/>
                <w:szCs w:val="18"/>
              </w:rPr>
              <w:t>Fraxinus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i/>
                <w:sz w:val="18"/>
                <w:szCs w:val="18"/>
              </w:rPr>
              <w:t>excelsior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82CE1">
              <w:rPr>
                <w:i/>
                <w:sz w:val="18"/>
                <w:szCs w:val="18"/>
              </w:rPr>
              <w:t>Picea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i/>
                <w:sz w:val="18"/>
                <w:szCs w:val="18"/>
              </w:rPr>
              <w:t>abies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&lt;5%, </w:t>
            </w:r>
            <w:proofErr w:type="spellStart"/>
            <w:r w:rsidRPr="00682CE1">
              <w:rPr>
                <w:i/>
                <w:sz w:val="18"/>
                <w:szCs w:val="18"/>
              </w:rPr>
              <w:t>Quercus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i/>
                <w:sz w:val="18"/>
                <w:szCs w:val="18"/>
              </w:rPr>
              <w:t>petraea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sz w:val="18"/>
                <w:szCs w:val="18"/>
              </w:rPr>
              <w:t>agg</w:t>
            </w:r>
            <w:proofErr w:type="spellEnd"/>
            <w:r w:rsidRPr="00682CE1">
              <w:rPr>
                <w:sz w:val="18"/>
                <w:szCs w:val="18"/>
              </w:rPr>
              <w:t>.,</w:t>
            </w:r>
            <w:r w:rsidRPr="00682CE1">
              <w:rPr>
                <w:b/>
                <w:i/>
                <w:sz w:val="18"/>
                <w:szCs w:val="18"/>
              </w:rPr>
              <w:t xml:space="preserve"> </w:t>
            </w:r>
            <w:r w:rsidRPr="00682CE1">
              <w:rPr>
                <w:i/>
                <w:sz w:val="18"/>
                <w:szCs w:val="18"/>
              </w:rPr>
              <w:t xml:space="preserve">Q, </w:t>
            </w:r>
            <w:proofErr w:type="spellStart"/>
            <w:r w:rsidRPr="00682CE1">
              <w:rPr>
                <w:i/>
                <w:sz w:val="18"/>
                <w:szCs w:val="18"/>
              </w:rPr>
              <w:t>robur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sz w:val="18"/>
                <w:szCs w:val="18"/>
              </w:rPr>
              <w:t>agg</w:t>
            </w:r>
            <w:proofErr w:type="spellEnd"/>
            <w:r w:rsidRPr="00682CE1">
              <w:rPr>
                <w:sz w:val="18"/>
                <w:szCs w:val="18"/>
              </w:rPr>
              <w:t>.</w:t>
            </w:r>
            <w:r w:rsidRPr="00682CE1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682CE1">
              <w:rPr>
                <w:i/>
                <w:sz w:val="18"/>
                <w:szCs w:val="18"/>
              </w:rPr>
              <w:t>Sorbus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sz w:val="18"/>
                <w:szCs w:val="18"/>
              </w:rPr>
              <w:t>spp</w:t>
            </w:r>
            <w:proofErr w:type="spellEnd"/>
            <w:r w:rsidRPr="00682CE1">
              <w:rPr>
                <w:sz w:val="18"/>
                <w:szCs w:val="18"/>
              </w:rPr>
              <w:t>.,</w:t>
            </w:r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i/>
                <w:sz w:val="18"/>
                <w:szCs w:val="18"/>
              </w:rPr>
              <w:t>Tilia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i/>
                <w:sz w:val="18"/>
                <w:szCs w:val="18"/>
              </w:rPr>
              <w:t>cordata</w:t>
            </w:r>
            <w:proofErr w:type="spellEnd"/>
            <w:r w:rsidRPr="00682CE1">
              <w:rPr>
                <w:i/>
                <w:sz w:val="18"/>
                <w:szCs w:val="18"/>
              </w:rPr>
              <w:t>,</w:t>
            </w:r>
            <w:r w:rsidRPr="00682CE1">
              <w:rPr>
                <w:b/>
                <w:i/>
                <w:sz w:val="18"/>
                <w:szCs w:val="18"/>
              </w:rPr>
              <w:t xml:space="preserve"> </w:t>
            </w:r>
            <w:r w:rsidRPr="00682CE1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682CE1">
              <w:rPr>
                <w:i/>
                <w:sz w:val="18"/>
                <w:szCs w:val="18"/>
              </w:rPr>
              <w:t>platyphyllos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82CE1">
              <w:rPr>
                <w:i/>
                <w:sz w:val="18"/>
                <w:szCs w:val="18"/>
              </w:rPr>
              <w:t>Ulmus</w:t>
            </w:r>
            <w:proofErr w:type="spellEnd"/>
            <w:r w:rsidRPr="00682C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82CE1">
              <w:rPr>
                <w:i/>
                <w:sz w:val="18"/>
                <w:szCs w:val="18"/>
              </w:rPr>
              <w:t>glabra</w:t>
            </w:r>
            <w:proofErr w:type="spellEnd"/>
            <w:r w:rsidRPr="00682CE1">
              <w:rPr>
                <w:sz w:val="18"/>
                <w:szCs w:val="18"/>
              </w:rPr>
              <w:t>.</w:t>
            </w:r>
          </w:p>
        </w:tc>
      </w:tr>
      <w:tr w:rsidR="00E43A23" w:rsidRPr="00B6615B" w:rsidTr="00E43A23">
        <w:trPr>
          <w:trHeight w:val="1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charakteristických druhov </w:t>
            </w:r>
            <w:proofErr w:type="spellStart"/>
            <w:r w:rsidRPr="00B6615B">
              <w:rPr>
                <w:sz w:val="18"/>
                <w:szCs w:val="18"/>
              </w:rPr>
              <w:t>synúzie</w:t>
            </w:r>
            <w:proofErr w:type="spellEnd"/>
            <w:r w:rsidRPr="00B6615B">
              <w:rPr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5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:rsidR="00E43A23" w:rsidRPr="00B6615B" w:rsidRDefault="00E43A23" w:rsidP="00682CE1">
            <w:pPr>
              <w:rPr>
                <w:i/>
                <w:sz w:val="18"/>
                <w:szCs w:val="18"/>
              </w:rPr>
            </w:pPr>
            <w:proofErr w:type="spellStart"/>
            <w:r w:rsidRPr="00B6615B">
              <w:rPr>
                <w:i/>
                <w:sz w:val="18"/>
                <w:szCs w:val="18"/>
              </w:rPr>
              <w:t>Aconitum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moldavicum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Actaea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spicata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Asarum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europaeum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Athyrium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filix-femina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Bromus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benekenii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Carex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pilosa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Dentaria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bulbifera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D. </w:t>
            </w:r>
            <w:proofErr w:type="spellStart"/>
            <w:r w:rsidRPr="00B6615B">
              <w:rPr>
                <w:i/>
                <w:sz w:val="18"/>
                <w:szCs w:val="18"/>
              </w:rPr>
              <w:t>enneaphyllos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D. </w:t>
            </w:r>
            <w:proofErr w:type="spellStart"/>
            <w:r w:rsidRPr="00B6615B">
              <w:rPr>
                <w:i/>
                <w:sz w:val="18"/>
                <w:szCs w:val="18"/>
              </w:rPr>
              <w:t>glandulosa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B6615B">
              <w:rPr>
                <w:i/>
                <w:sz w:val="18"/>
                <w:szCs w:val="18"/>
              </w:rPr>
              <w:t>Dryopteris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filix-mas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Festuca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altissima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F. </w:t>
            </w:r>
            <w:proofErr w:type="spellStart"/>
            <w:r w:rsidRPr="00B6615B">
              <w:rPr>
                <w:i/>
                <w:sz w:val="18"/>
                <w:szCs w:val="18"/>
              </w:rPr>
              <w:t>drymeja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Galeobdolon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luteum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agg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B6615B">
              <w:rPr>
                <w:i/>
                <w:sz w:val="18"/>
                <w:szCs w:val="18"/>
              </w:rPr>
              <w:t>Galium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odoratum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Geranium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robertianum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Hordelymus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europaeus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Isopyrum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thalictroides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Lilium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martagon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Melica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nutans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M. </w:t>
            </w:r>
            <w:proofErr w:type="spellStart"/>
            <w:r w:rsidRPr="00B6615B">
              <w:rPr>
                <w:i/>
                <w:sz w:val="18"/>
                <w:szCs w:val="18"/>
              </w:rPr>
              <w:t>uniflora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Mercurialis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perennis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Myosotis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agg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B6615B">
              <w:rPr>
                <w:i/>
                <w:sz w:val="18"/>
                <w:szCs w:val="18"/>
              </w:rPr>
              <w:t>Oxalis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acetosella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Paris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quadrifolia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Poa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nemoralis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Polygonatum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verticillatum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Prenanthes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purpurea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Pulmonaria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obscura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Rubus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hirtus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Salvia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glutinosa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B6615B">
              <w:rPr>
                <w:i/>
                <w:sz w:val="18"/>
                <w:szCs w:val="18"/>
              </w:rPr>
              <w:t>Sanicula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europaea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Senecio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ovatus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Symphytum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tuberosum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Tithymalus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amygdaloides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Veronica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montana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Viola </w:t>
            </w:r>
            <w:proofErr w:type="spellStart"/>
            <w:r w:rsidRPr="00B6615B">
              <w:rPr>
                <w:i/>
                <w:sz w:val="18"/>
                <w:szCs w:val="18"/>
              </w:rPr>
              <w:t>reichenbachiana</w:t>
            </w:r>
            <w:proofErr w:type="spellEnd"/>
          </w:p>
        </w:tc>
      </w:tr>
      <w:tr w:rsidR="00E43A23" w:rsidRPr="00B6615B" w:rsidTr="00E43A23">
        <w:trPr>
          <w:trHeight w:val="114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Menej ako 1 %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Minimálne 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>/inváznych druhov bylín (</w:t>
            </w:r>
            <w:r w:rsidRPr="00B6615B">
              <w:rPr>
                <w:i/>
                <w:sz w:val="18"/>
                <w:szCs w:val="18"/>
              </w:rPr>
              <w:t xml:space="preserve">Fallopia sp., </w:t>
            </w:r>
            <w:proofErr w:type="spellStart"/>
            <w:r w:rsidRPr="00B6615B">
              <w:rPr>
                <w:i/>
                <w:sz w:val="18"/>
                <w:szCs w:val="18"/>
              </w:rPr>
              <w:t>Impatiens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glandulifera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I. </w:t>
            </w:r>
            <w:proofErr w:type="spellStart"/>
            <w:r w:rsidRPr="00B6615B">
              <w:rPr>
                <w:i/>
                <w:sz w:val="18"/>
                <w:szCs w:val="18"/>
              </w:rPr>
              <w:t>parviflora</w:t>
            </w:r>
            <w:proofErr w:type="spellEnd"/>
            <w:r w:rsidRPr="00B6615B">
              <w:rPr>
                <w:sz w:val="18"/>
                <w:szCs w:val="18"/>
              </w:rPr>
              <w:t>)</w:t>
            </w:r>
            <w:r w:rsidR="00D01744">
              <w:rPr>
                <w:sz w:val="18"/>
                <w:szCs w:val="18"/>
              </w:rPr>
              <w:t>.</w:t>
            </w:r>
          </w:p>
        </w:tc>
      </w:tr>
      <w:tr w:rsidR="00E43A23" w:rsidRPr="00B6615B" w:rsidTr="00E43A23">
        <w:trPr>
          <w:trHeight w:val="12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spacing w:after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Mŕtve drevo</w:t>
            </w:r>
          </w:p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(stojace, ležiace kmene stromov hlavnej úrovne s limitnou hrúbkou d</w:t>
            </w:r>
            <w:r w:rsidRPr="009C46FB">
              <w:rPr>
                <w:sz w:val="18"/>
                <w:szCs w:val="18"/>
                <w:vertAlign w:val="subscript"/>
              </w:rPr>
              <w:t>1,3</w:t>
            </w:r>
            <w:r w:rsidRPr="00B6615B">
              <w:rPr>
                <w:sz w:val="18"/>
                <w:szCs w:val="18"/>
              </w:rPr>
              <w:t xml:space="preserve"> najmenej 50 cm)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</w:t>
            </w:r>
            <w:r w:rsidRPr="00B6615B">
              <w:rPr>
                <w:sz w:val="18"/>
                <w:szCs w:val="18"/>
                <w:vertAlign w:val="superscript"/>
              </w:rPr>
              <w:t>3</w:t>
            </w:r>
            <w:r w:rsidRPr="00B6615B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20</w:t>
            </w:r>
          </w:p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</w:p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Zabezpečenie prítomnosti odumretého dreva na ploche biotopu v danom objeme.</w:t>
            </w:r>
          </w:p>
          <w:p w:rsidR="00E43A23" w:rsidRPr="00B6615B" w:rsidRDefault="00E43A23" w:rsidP="00E43A23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11A1" w:rsidRDefault="00FE11A1" w:rsidP="00E43A23">
      <w:pPr>
        <w:ind w:hanging="142"/>
      </w:pPr>
    </w:p>
    <w:p w:rsidR="00E65B6D" w:rsidRPr="00622104" w:rsidRDefault="00E65B6D" w:rsidP="00E65B6D">
      <w:pPr>
        <w:pBdr>
          <w:top w:val="nil"/>
          <w:left w:val="nil"/>
          <w:bottom w:val="nil"/>
          <w:right w:val="nil"/>
          <w:between w:val="nil"/>
        </w:pBdr>
        <w:ind w:hanging="142"/>
        <w:rPr>
          <w:b/>
          <w:szCs w:val="24"/>
        </w:rPr>
      </w:pPr>
      <w:r>
        <w:rPr>
          <w:color w:val="000000"/>
          <w:szCs w:val="24"/>
        </w:rPr>
        <w:t xml:space="preserve">Zlepšenie </w:t>
      </w:r>
      <w:r w:rsidRPr="00622104">
        <w:rPr>
          <w:color w:val="000000"/>
          <w:szCs w:val="24"/>
        </w:rPr>
        <w:t xml:space="preserve">stavu biotopu </w:t>
      </w:r>
      <w:r w:rsidRPr="00622104">
        <w:rPr>
          <w:b/>
          <w:color w:val="000000"/>
          <w:szCs w:val="24"/>
        </w:rPr>
        <w:t>Ls</w:t>
      </w:r>
      <w:r>
        <w:rPr>
          <w:b/>
          <w:color w:val="000000"/>
          <w:szCs w:val="24"/>
        </w:rPr>
        <w:t>5.4</w:t>
      </w:r>
      <w:r w:rsidRPr="00622104">
        <w:rPr>
          <w:b/>
          <w:color w:val="000000"/>
          <w:szCs w:val="24"/>
        </w:rPr>
        <w:t xml:space="preserve"> (</w:t>
      </w:r>
      <w:r w:rsidRPr="00622104">
        <w:rPr>
          <w:b/>
          <w:szCs w:val="24"/>
        </w:rPr>
        <w:t xml:space="preserve">9150) </w:t>
      </w:r>
      <w:proofErr w:type="spellStart"/>
      <w:r w:rsidRPr="00622104">
        <w:rPr>
          <w:b/>
          <w:szCs w:val="24"/>
        </w:rPr>
        <w:t>Vápnomilné</w:t>
      </w:r>
      <w:proofErr w:type="spellEnd"/>
      <w:r w:rsidRPr="00622104">
        <w:rPr>
          <w:b/>
          <w:szCs w:val="24"/>
        </w:rPr>
        <w:t xml:space="preserve"> bukové lesy</w:t>
      </w:r>
      <w:r w:rsidRPr="00622104">
        <w:rPr>
          <w:b/>
          <w:i/>
          <w:szCs w:val="24"/>
        </w:rPr>
        <w:t xml:space="preserve"> </w:t>
      </w:r>
      <w:r>
        <w:rPr>
          <w:szCs w:val="24"/>
        </w:rPr>
        <w:t>za splnenia nasledovných atribútov:</w:t>
      </w:r>
      <w:r w:rsidRPr="00622104">
        <w:rPr>
          <w:b/>
          <w:i/>
          <w:szCs w:val="24"/>
        </w:rPr>
        <w:t xml:space="preserve"> </w:t>
      </w:r>
      <w:r w:rsidRPr="00622104">
        <w:rPr>
          <w:b/>
          <w:i/>
          <w:szCs w:val="24"/>
        </w:rPr>
        <w:tab/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20"/>
        <w:gridCol w:w="1276"/>
        <w:gridCol w:w="1559"/>
        <w:gridCol w:w="4121"/>
      </w:tblGrid>
      <w:tr w:rsidR="00E65B6D" w:rsidRPr="00622104" w:rsidTr="000E3C64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22104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22104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22104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22104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E65B6D" w:rsidRPr="00622104" w:rsidTr="000E3C64">
        <w:trPr>
          <w:trHeight w:val="106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widowControl w:val="0"/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widowControl w:val="0"/>
              <w:jc w:val="center"/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622104">
              <w:rPr>
                <w:sz w:val="18"/>
                <w:szCs w:val="18"/>
              </w:rPr>
              <w:t>drža</w:t>
            </w:r>
            <w:r>
              <w:rPr>
                <w:sz w:val="18"/>
                <w:szCs w:val="18"/>
              </w:rPr>
              <w:t>nie</w:t>
            </w:r>
            <w:r w:rsidRPr="00622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existujúcej výmery biotopu v ÚEV.</w:t>
            </w:r>
          </w:p>
        </w:tc>
      </w:tr>
      <w:tr w:rsidR="00E65B6D" w:rsidRPr="00622104" w:rsidTr="000E3C64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22104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jc w:val="center"/>
              <w:rPr>
                <w:sz w:val="18"/>
                <w:szCs w:val="18"/>
                <w:highlight w:val="yellow"/>
              </w:rPr>
            </w:pPr>
            <w:r w:rsidRPr="00622104">
              <w:rPr>
                <w:sz w:val="18"/>
                <w:szCs w:val="18"/>
              </w:rPr>
              <w:t>najmenej 8</w:t>
            </w:r>
            <w:r>
              <w:rPr>
                <w:sz w:val="18"/>
                <w:szCs w:val="18"/>
              </w:rPr>
              <w:t>0</w:t>
            </w:r>
            <w:r w:rsidRPr="00622104">
              <w:rPr>
                <w:sz w:val="18"/>
                <w:szCs w:val="18"/>
              </w:rPr>
              <w:t> %</w:t>
            </w:r>
          </w:p>
          <w:p w:rsidR="00E65B6D" w:rsidRPr="00622104" w:rsidRDefault="00E65B6D" w:rsidP="000E3C64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>Charakteristická druhová skladba:</w:t>
            </w:r>
          </w:p>
          <w:p w:rsidR="00E65B6D" w:rsidRPr="00622104" w:rsidRDefault="00E65B6D" w:rsidP="000E3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  <w:u w:val="single"/>
              </w:rPr>
              <w:t>4.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622104">
              <w:rPr>
                <w:sz w:val="18"/>
                <w:szCs w:val="18"/>
                <w:u w:val="single"/>
              </w:rPr>
              <w:t>lvs</w:t>
            </w:r>
            <w:proofErr w:type="spellEnd"/>
            <w:r w:rsidRPr="00622104">
              <w:rPr>
                <w:sz w:val="18"/>
                <w:szCs w:val="18"/>
                <w:u w:val="single"/>
              </w:rPr>
              <w:t>:</w:t>
            </w:r>
            <w:r w:rsidRPr="00622104">
              <w:rPr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alba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&lt;15%, </w:t>
            </w:r>
            <w:proofErr w:type="spellStart"/>
            <w:r w:rsidRPr="00622104">
              <w:rPr>
                <w:i/>
                <w:sz w:val="18"/>
                <w:szCs w:val="18"/>
              </w:rPr>
              <w:t>Acer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campestre</w:t>
            </w:r>
            <w:proofErr w:type="spellEnd"/>
            <w:r w:rsidRPr="00622104">
              <w:rPr>
                <w:i/>
                <w:sz w:val="18"/>
                <w:szCs w:val="18"/>
              </w:rPr>
              <w:t>,</w:t>
            </w:r>
            <w:r w:rsidRPr="00622104">
              <w:rPr>
                <w:b/>
                <w:i/>
                <w:sz w:val="18"/>
                <w:szCs w:val="18"/>
              </w:rPr>
              <w:t xml:space="preserve"> </w:t>
            </w:r>
            <w:r w:rsidRPr="00622104">
              <w:rPr>
                <w:i/>
                <w:sz w:val="18"/>
                <w:szCs w:val="18"/>
              </w:rPr>
              <w:t>A. </w:t>
            </w:r>
            <w:proofErr w:type="spellStart"/>
            <w:r w:rsidRPr="00622104">
              <w:rPr>
                <w:i/>
                <w:sz w:val="18"/>
                <w:szCs w:val="18"/>
              </w:rPr>
              <w:t>platanoides</w:t>
            </w:r>
            <w:proofErr w:type="spellEnd"/>
            <w:r w:rsidRPr="00622104">
              <w:rPr>
                <w:i/>
                <w:sz w:val="18"/>
                <w:szCs w:val="18"/>
              </w:rPr>
              <w:t>, A. </w:t>
            </w:r>
            <w:proofErr w:type="spellStart"/>
            <w:r w:rsidRPr="00622104">
              <w:rPr>
                <w:i/>
                <w:sz w:val="18"/>
                <w:szCs w:val="18"/>
              </w:rPr>
              <w:t>pseudoplatanus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622104">
              <w:rPr>
                <w:i/>
                <w:sz w:val="18"/>
                <w:szCs w:val="18"/>
              </w:rPr>
              <w:t>Carpinus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betulus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Cerasus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avium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622104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62210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Fraxinus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excelsior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lastRenderedPageBreak/>
              <w:t>Larix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decidua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&lt;5</w:t>
            </w:r>
            <w:r>
              <w:rPr>
                <w:i/>
                <w:sz w:val="18"/>
                <w:szCs w:val="18"/>
              </w:rPr>
              <w:t xml:space="preserve">%, </w:t>
            </w:r>
            <w:proofErr w:type="spellStart"/>
            <w:r>
              <w:rPr>
                <w:i/>
                <w:sz w:val="18"/>
                <w:szCs w:val="18"/>
              </w:rPr>
              <w:t>Picea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&lt;5%, </w:t>
            </w:r>
            <w:proofErr w:type="spellStart"/>
            <w:r w:rsidRPr="00622104">
              <w:rPr>
                <w:i/>
                <w:sz w:val="18"/>
                <w:szCs w:val="18"/>
              </w:rPr>
              <w:t>Pinus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sylvestris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&lt;20%, </w:t>
            </w:r>
            <w:proofErr w:type="spellStart"/>
            <w:r w:rsidRPr="00622104">
              <w:rPr>
                <w:i/>
                <w:sz w:val="18"/>
                <w:szCs w:val="18"/>
              </w:rPr>
              <w:t>Quercus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petraea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sz w:val="18"/>
                <w:szCs w:val="18"/>
              </w:rPr>
              <w:t>agg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Sorbus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sz w:val="18"/>
                <w:szCs w:val="18"/>
              </w:rPr>
              <w:t>spp</w:t>
            </w:r>
            <w:proofErr w:type="spellEnd"/>
            <w:r w:rsidRPr="00622104">
              <w:rPr>
                <w:sz w:val="18"/>
                <w:szCs w:val="18"/>
              </w:rPr>
              <w:t>.,</w:t>
            </w:r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Tilia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cordata</w:t>
            </w:r>
            <w:proofErr w:type="spellEnd"/>
            <w:r w:rsidRPr="00622104">
              <w:rPr>
                <w:i/>
                <w:sz w:val="18"/>
                <w:szCs w:val="18"/>
              </w:rPr>
              <w:t>, T. </w:t>
            </w:r>
            <w:proofErr w:type="spellStart"/>
            <w:r w:rsidRPr="00622104">
              <w:rPr>
                <w:i/>
                <w:sz w:val="18"/>
                <w:szCs w:val="18"/>
              </w:rPr>
              <w:t>platyphyllos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Ulmus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glabra</w:t>
            </w:r>
            <w:proofErr w:type="spellEnd"/>
            <w:r w:rsidRPr="00622104">
              <w:rPr>
                <w:sz w:val="18"/>
                <w:szCs w:val="18"/>
              </w:rPr>
              <w:t>.</w:t>
            </w:r>
          </w:p>
          <w:p w:rsidR="00E65B6D" w:rsidRPr="00622104" w:rsidRDefault="00E65B6D" w:rsidP="000E3C64">
            <w:pPr>
              <w:rPr>
                <w:sz w:val="18"/>
                <w:szCs w:val="18"/>
              </w:rPr>
            </w:pPr>
            <w:r w:rsidRPr="00622104">
              <w:rPr>
                <w:b/>
                <w:sz w:val="18"/>
                <w:szCs w:val="18"/>
              </w:rPr>
              <w:t>Pozn.:</w:t>
            </w:r>
            <w:r w:rsidRPr="00622104">
              <w:rPr>
                <w:sz w:val="18"/>
                <w:szCs w:val="18"/>
              </w:rPr>
              <w:t xml:space="preserve"> </w:t>
            </w:r>
            <w:r w:rsidRPr="00622104">
              <w:rPr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E65B6D" w:rsidRPr="00622104" w:rsidTr="000E3C64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622104">
              <w:rPr>
                <w:sz w:val="18"/>
                <w:szCs w:val="18"/>
              </w:rPr>
              <w:t>synúzie</w:t>
            </w:r>
            <w:proofErr w:type="spellEnd"/>
            <w:r w:rsidRPr="00622104">
              <w:rPr>
                <w:sz w:val="18"/>
                <w:szCs w:val="18"/>
              </w:rPr>
              <w:t xml:space="preserve"> podrastu (</w:t>
            </w:r>
            <w:r w:rsidRPr="00622104">
              <w:rPr>
                <w:i/>
                <w:sz w:val="18"/>
                <w:szCs w:val="18"/>
              </w:rPr>
              <w:t>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>Charakteristická druhová skladba:</w:t>
            </w:r>
          </w:p>
          <w:p w:rsidR="00E65B6D" w:rsidRPr="00622104" w:rsidRDefault="00E65B6D" w:rsidP="000E3C64">
            <w:pPr>
              <w:rPr>
                <w:i/>
                <w:sz w:val="18"/>
                <w:szCs w:val="18"/>
              </w:rPr>
            </w:pPr>
            <w:proofErr w:type="spellStart"/>
            <w:r w:rsidRPr="00622104">
              <w:rPr>
                <w:i/>
                <w:sz w:val="18"/>
                <w:szCs w:val="18"/>
              </w:rPr>
              <w:t>Aconitum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vulparia</w:t>
            </w:r>
            <w:proofErr w:type="spellEnd"/>
            <w:r w:rsidRPr="00622104">
              <w:rPr>
                <w:i/>
                <w:sz w:val="18"/>
                <w:szCs w:val="18"/>
              </w:rPr>
              <w:t>, A. </w:t>
            </w:r>
            <w:proofErr w:type="spellStart"/>
            <w:r w:rsidRPr="00622104">
              <w:rPr>
                <w:i/>
                <w:sz w:val="18"/>
                <w:szCs w:val="18"/>
              </w:rPr>
              <w:t>moldavicum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622104">
              <w:rPr>
                <w:i/>
                <w:sz w:val="18"/>
                <w:szCs w:val="18"/>
              </w:rPr>
              <w:t>endemit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622104">
              <w:rPr>
                <w:i/>
                <w:sz w:val="18"/>
                <w:szCs w:val="18"/>
              </w:rPr>
              <w:t>Adenophora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liliifolia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Aquilegia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vulgaris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b/>
                <w:i/>
                <w:sz w:val="18"/>
                <w:szCs w:val="18"/>
              </w:rPr>
              <w:t>Calamagrostis</w:t>
            </w:r>
            <w:proofErr w:type="spellEnd"/>
            <w:r w:rsidRPr="00622104">
              <w:rPr>
                <w:b/>
                <w:i/>
                <w:sz w:val="18"/>
                <w:szCs w:val="18"/>
              </w:rPr>
              <w:t xml:space="preserve"> varia</w:t>
            </w:r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Campanula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carpatica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622104">
              <w:rPr>
                <w:i/>
                <w:sz w:val="18"/>
                <w:szCs w:val="18"/>
              </w:rPr>
              <w:t>endemit</w:t>
            </w:r>
            <w:proofErr w:type="spellEnd"/>
            <w:r w:rsidRPr="00622104">
              <w:rPr>
                <w:i/>
                <w:sz w:val="18"/>
                <w:szCs w:val="18"/>
              </w:rPr>
              <w:t>), C. </w:t>
            </w:r>
            <w:proofErr w:type="spellStart"/>
            <w:r w:rsidRPr="00622104">
              <w:rPr>
                <w:i/>
                <w:sz w:val="18"/>
                <w:szCs w:val="18"/>
              </w:rPr>
              <w:t>persicifolia</w:t>
            </w:r>
            <w:proofErr w:type="spellEnd"/>
            <w:r w:rsidRPr="00622104">
              <w:rPr>
                <w:i/>
                <w:sz w:val="18"/>
                <w:szCs w:val="18"/>
              </w:rPr>
              <w:t>, C. </w:t>
            </w:r>
            <w:proofErr w:type="spellStart"/>
            <w:r w:rsidRPr="00622104">
              <w:rPr>
                <w:i/>
                <w:sz w:val="18"/>
                <w:szCs w:val="18"/>
              </w:rPr>
              <w:t>rapunculoides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Cardaminopsis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arenosa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agg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622104">
              <w:rPr>
                <w:i/>
                <w:sz w:val="18"/>
                <w:szCs w:val="18"/>
              </w:rPr>
              <w:t>Carduus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glaucinus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622104">
              <w:rPr>
                <w:i/>
                <w:sz w:val="18"/>
                <w:szCs w:val="18"/>
              </w:rPr>
              <w:t>endemit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622104">
              <w:rPr>
                <w:b/>
                <w:i/>
                <w:sz w:val="18"/>
                <w:szCs w:val="18"/>
              </w:rPr>
              <w:t>Carex</w:t>
            </w:r>
            <w:proofErr w:type="spellEnd"/>
            <w:r w:rsidRPr="0062210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b/>
                <w:i/>
                <w:sz w:val="18"/>
                <w:szCs w:val="18"/>
              </w:rPr>
              <w:t>alba</w:t>
            </w:r>
            <w:proofErr w:type="spellEnd"/>
            <w:r w:rsidRPr="00622104">
              <w:rPr>
                <w:i/>
                <w:sz w:val="18"/>
                <w:szCs w:val="18"/>
              </w:rPr>
              <w:t>, C. </w:t>
            </w:r>
            <w:proofErr w:type="spellStart"/>
            <w:r w:rsidRPr="00622104">
              <w:rPr>
                <w:i/>
                <w:sz w:val="18"/>
                <w:szCs w:val="18"/>
              </w:rPr>
              <w:t>digitata</w:t>
            </w:r>
            <w:proofErr w:type="spellEnd"/>
            <w:r w:rsidRPr="00622104">
              <w:rPr>
                <w:i/>
                <w:sz w:val="18"/>
                <w:szCs w:val="18"/>
              </w:rPr>
              <w:t>, C. </w:t>
            </w:r>
            <w:proofErr w:type="spellStart"/>
            <w:r w:rsidRPr="00622104">
              <w:rPr>
                <w:i/>
                <w:sz w:val="18"/>
                <w:szCs w:val="18"/>
              </w:rPr>
              <w:t>montana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Cephalanthera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damasonium</w:t>
            </w:r>
            <w:proofErr w:type="spellEnd"/>
            <w:r w:rsidRPr="00622104">
              <w:rPr>
                <w:i/>
                <w:sz w:val="18"/>
                <w:szCs w:val="18"/>
              </w:rPr>
              <w:t>, C. </w:t>
            </w:r>
            <w:proofErr w:type="spellStart"/>
            <w:r w:rsidRPr="00622104">
              <w:rPr>
                <w:i/>
                <w:sz w:val="18"/>
                <w:szCs w:val="18"/>
              </w:rPr>
              <w:t>rubra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Cirsium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erisithales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Clematis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alpina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Corallorhiza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trifida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Cortusa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mattioli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  <w:u w:val="single"/>
              </w:rPr>
              <w:t>Cypripedium</w:t>
            </w:r>
            <w:proofErr w:type="spellEnd"/>
            <w:r w:rsidRPr="00622104">
              <w:rPr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  <w:u w:val="single"/>
              </w:rPr>
              <w:t>calceolus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622104">
              <w:rPr>
                <w:i/>
                <w:sz w:val="18"/>
                <w:szCs w:val="18"/>
              </w:rPr>
              <w:t>anexový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druh), </w:t>
            </w:r>
            <w:proofErr w:type="spellStart"/>
            <w:r w:rsidRPr="00622104">
              <w:rPr>
                <w:i/>
                <w:sz w:val="18"/>
                <w:szCs w:val="18"/>
              </w:rPr>
              <w:t>Epipactis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microphylla</w:t>
            </w:r>
            <w:proofErr w:type="spellEnd"/>
            <w:r w:rsidRPr="00622104">
              <w:rPr>
                <w:i/>
                <w:sz w:val="18"/>
                <w:szCs w:val="18"/>
              </w:rPr>
              <w:t>, E. </w:t>
            </w:r>
            <w:proofErr w:type="spellStart"/>
            <w:r w:rsidRPr="00622104">
              <w:rPr>
                <w:i/>
                <w:sz w:val="18"/>
                <w:szCs w:val="18"/>
              </w:rPr>
              <w:t>muelleri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Hedera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helix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Laserpitium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latifolium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Lilium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martagon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Pimpinella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major, </w:t>
            </w:r>
            <w:proofErr w:type="spellStart"/>
            <w:r w:rsidRPr="00622104">
              <w:rPr>
                <w:i/>
                <w:sz w:val="18"/>
                <w:szCs w:val="18"/>
              </w:rPr>
              <w:t>Pleurospermum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austriacum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Poa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stiriaca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Rubus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saxatilis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b/>
                <w:i/>
                <w:sz w:val="18"/>
                <w:szCs w:val="18"/>
              </w:rPr>
              <w:t>Sesleria</w:t>
            </w:r>
            <w:proofErr w:type="spellEnd"/>
            <w:r w:rsidRPr="0062210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b/>
                <w:i/>
                <w:sz w:val="18"/>
                <w:szCs w:val="18"/>
              </w:rPr>
              <w:t>albicans</w:t>
            </w:r>
            <w:proofErr w:type="spellEnd"/>
            <w:r w:rsidRPr="00622104">
              <w:rPr>
                <w:i/>
                <w:sz w:val="18"/>
                <w:szCs w:val="18"/>
              </w:rPr>
              <w:t>, S. </w:t>
            </w:r>
            <w:proofErr w:type="spellStart"/>
            <w:r w:rsidRPr="00622104">
              <w:rPr>
                <w:i/>
                <w:sz w:val="18"/>
                <w:szCs w:val="18"/>
              </w:rPr>
              <w:t>heufleriana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622104">
              <w:rPr>
                <w:i/>
                <w:sz w:val="18"/>
                <w:szCs w:val="18"/>
              </w:rPr>
              <w:t>endemit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622104">
              <w:rPr>
                <w:i/>
                <w:sz w:val="18"/>
                <w:szCs w:val="18"/>
              </w:rPr>
              <w:t>Solidago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virgaurea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Valeriana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tripteris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i/>
                <w:sz w:val="18"/>
                <w:szCs w:val="18"/>
              </w:rPr>
              <w:t>Vincetoxicum</w:t>
            </w:r>
            <w:proofErr w:type="spellEnd"/>
            <w:r w:rsidRPr="0062210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i/>
                <w:sz w:val="18"/>
                <w:szCs w:val="18"/>
              </w:rPr>
              <w:t>hirundinaria</w:t>
            </w:r>
            <w:proofErr w:type="spellEnd"/>
            <w:r w:rsidRPr="00622104">
              <w:rPr>
                <w:i/>
                <w:sz w:val="18"/>
                <w:szCs w:val="18"/>
              </w:rPr>
              <w:t>.</w:t>
            </w:r>
          </w:p>
        </w:tc>
      </w:tr>
      <w:tr w:rsidR="00E65B6D" w:rsidRPr="00622104" w:rsidTr="000E3C64">
        <w:trPr>
          <w:trHeight w:val="62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 xml:space="preserve">Zastúpenie </w:t>
            </w:r>
            <w:proofErr w:type="spellStart"/>
            <w:r w:rsidRPr="00622104">
              <w:rPr>
                <w:sz w:val="18"/>
                <w:szCs w:val="18"/>
              </w:rPr>
              <w:t>alochtónnych</w:t>
            </w:r>
            <w:proofErr w:type="spellEnd"/>
            <w:r w:rsidRPr="00622104">
              <w:rPr>
                <w:sz w:val="18"/>
                <w:szCs w:val="18"/>
              </w:rPr>
              <w:t xml:space="preserve"> druhov/inváznych druhov drevín</w:t>
            </w:r>
            <w:r>
              <w:rPr>
                <w:sz w:val="18"/>
                <w:szCs w:val="18"/>
              </w:rPr>
              <w:t xml:space="preserve">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jc w:val="center"/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5B6D" w:rsidRPr="007C1A4C" w:rsidRDefault="00E65B6D" w:rsidP="000E3C64">
            <w:pPr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Minimálne 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>/inváznych druhov bylín (</w:t>
            </w:r>
            <w:r w:rsidRPr="00B6615B">
              <w:rPr>
                <w:i/>
                <w:sz w:val="18"/>
                <w:szCs w:val="18"/>
              </w:rPr>
              <w:t xml:space="preserve">Fallopia sp., </w:t>
            </w:r>
            <w:proofErr w:type="spellStart"/>
            <w:r w:rsidRPr="00B6615B">
              <w:rPr>
                <w:i/>
                <w:sz w:val="18"/>
                <w:szCs w:val="18"/>
              </w:rPr>
              <w:t>Impatiens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glandulifera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I. </w:t>
            </w:r>
            <w:proofErr w:type="spellStart"/>
            <w:r w:rsidRPr="00B6615B">
              <w:rPr>
                <w:i/>
                <w:sz w:val="18"/>
                <w:szCs w:val="18"/>
              </w:rPr>
              <w:t>parviflora</w:t>
            </w:r>
            <w:proofErr w:type="spellEnd"/>
            <w:r w:rsidRPr="00B6615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</w:tr>
      <w:tr w:rsidR="00E65B6D" w:rsidRPr="00622104" w:rsidTr="000E3C64">
        <w:trPr>
          <w:trHeight w:val="64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>Odumreté drevo (stojace, ležiace kmene stromov hlavnej úrovne s limitnou hrúbkou d</w:t>
            </w:r>
            <w:r w:rsidRPr="00622104">
              <w:rPr>
                <w:sz w:val="18"/>
                <w:szCs w:val="18"/>
                <w:vertAlign w:val="subscript"/>
              </w:rPr>
              <w:t>1,3</w:t>
            </w:r>
            <w:r w:rsidRPr="00622104">
              <w:rPr>
                <w:sz w:val="18"/>
                <w:szCs w:val="18"/>
              </w:rPr>
              <w:t xml:space="preserve"> najmenej 50 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jc w:val="center"/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>m</w:t>
            </w:r>
            <w:r w:rsidRPr="00622104">
              <w:rPr>
                <w:sz w:val="18"/>
                <w:szCs w:val="18"/>
                <w:vertAlign w:val="superscript"/>
              </w:rPr>
              <w:t>3</w:t>
            </w:r>
            <w:r w:rsidRPr="00622104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B6D" w:rsidRPr="00622104" w:rsidRDefault="00E65B6D" w:rsidP="000E3C64">
            <w:pPr>
              <w:jc w:val="center"/>
              <w:rPr>
                <w:sz w:val="18"/>
                <w:szCs w:val="18"/>
              </w:rPr>
            </w:pPr>
            <w:r w:rsidRPr="00622104">
              <w:rPr>
                <w:sz w:val="18"/>
                <w:szCs w:val="18"/>
              </w:rPr>
              <w:t xml:space="preserve">najmenej </w:t>
            </w:r>
            <w:r>
              <w:rPr>
                <w:sz w:val="18"/>
                <w:szCs w:val="18"/>
              </w:rPr>
              <w:t>2</w:t>
            </w:r>
            <w:r w:rsidRPr="00622104">
              <w:rPr>
                <w:sz w:val="18"/>
                <w:szCs w:val="18"/>
              </w:rPr>
              <w:t>0</w:t>
            </w:r>
          </w:p>
          <w:p w:rsidR="00E65B6D" w:rsidRPr="00622104" w:rsidRDefault="00E65B6D" w:rsidP="000E3C64">
            <w:pPr>
              <w:jc w:val="center"/>
              <w:rPr>
                <w:sz w:val="18"/>
                <w:szCs w:val="18"/>
              </w:rPr>
            </w:pPr>
          </w:p>
          <w:p w:rsidR="00E65B6D" w:rsidRPr="00622104" w:rsidRDefault="00E65B6D" w:rsidP="000E3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5B6D" w:rsidRPr="00410FDB" w:rsidRDefault="00E65B6D" w:rsidP="000E3C64">
            <w:pPr>
              <w:rPr>
                <w:color w:val="000000"/>
                <w:sz w:val="18"/>
                <w:szCs w:val="18"/>
              </w:rPr>
            </w:pPr>
            <w:r w:rsidRPr="00E72E84">
              <w:rPr>
                <w:color w:val="000000"/>
                <w:sz w:val="18"/>
                <w:szCs w:val="18"/>
              </w:rPr>
              <w:t>Zabezpečenie udržania prítomnosti odumretého dreva na</w:t>
            </w:r>
            <w:r>
              <w:rPr>
                <w:color w:val="000000"/>
                <w:sz w:val="18"/>
                <w:szCs w:val="18"/>
              </w:rPr>
              <w:t xml:space="preserve"> ploche biotopu v danom objeme.</w:t>
            </w:r>
          </w:p>
        </w:tc>
      </w:tr>
    </w:tbl>
    <w:p w:rsidR="00E65B6D" w:rsidRDefault="00E65B6D" w:rsidP="0022520E">
      <w:pPr>
        <w:pStyle w:val="Zkladntext"/>
        <w:widowControl w:val="0"/>
        <w:spacing w:after="120"/>
        <w:jc w:val="both"/>
        <w:rPr>
          <w:b w:val="0"/>
          <w:lang w:val="sk-SK"/>
        </w:rPr>
      </w:pPr>
    </w:p>
    <w:p w:rsidR="0022520E" w:rsidRPr="00911FBF" w:rsidRDefault="0022520E" w:rsidP="0022520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 xml:space="preserve">Zachovanie </w:t>
      </w:r>
      <w:r w:rsidRPr="005E58E4">
        <w:rPr>
          <w:b w:val="0"/>
        </w:rPr>
        <w:t>stavu</w:t>
      </w:r>
      <w:r w:rsidRPr="00B6615B">
        <w:t xml:space="preserve"> </w:t>
      </w:r>
      <w:r w:rsidRPr="00B6615B">
        <w:rPr>
          <w:b w:val="0"/>
        </w:rPr>
        <w:t>biotopu</w:t>
      </w:r>
      <w:r>
        <w:rPr>
          <w:b w:val="0"/>
          <w:lang w:val="sk-SK"/>
        </w:rPr>
        <w:t xml:space="preserve"> </w:t>
      </w:r>
      <w:r>
        <w:rPr>
          <w:lang w:val="sk-SK"/>
        </w:rPr>
        <w:t>Lk</w:t>
      </w:r>
      <w:r w:rsidRPr="00911FBF">
        <w:rPr>
          <w:lang w:val="sk-SK"/>
        </w:rPr>
        <w:t>1</w:t>
      </w:r>
      <w:r w:rsidRPr="00911FBF">
        <w:t xml:space="preserve"> </w:t>
      </w:r>
      <w:r w:rsidRPr="00911FBF">
        <w:rPr>
          <w:lang w:val="sk-SK"/>
        </w:rPr>
        <w:t>(</w:t>
      </w:r>
      <w:r w:rsidRPr="00911FBF">
        <w:t>6510</w:t>
      </w:r>
      <w:r w:rsidRPr="00911FBF">
        <w:rPr>
          <w:lang w:val="sk-SK"/>
        </w:rPr>
        <w:t>)</w:t>
      </w:r>
      <w:r w:rsidRPr="00911FBF">
        <w:t xml:space="preserve"> Nížinné a podhorské kosné lúky</w:t>
      </w:r>
      <w:r w:rsidRPr="00B6615B">
        <w:t xml:space="preserve"> </w:t>
      </w:r>
      <w:r w:rsidRPr="00911FBF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1690"/>
        <w:gridCol w:w="1444"/>
        <w:gridCol w:w="1213"/>
        <w:gridCol w:w="4795"/>
      </w:tblGrid>
      <w:tr w:rsidR="0022520E" w:rsidRPr="00B6615B" w:rsidTr="00B760B0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22520E" w:rsidRPr="00B6615B" w:rsidTr="00B760B0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E65B6D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165</w:t>
            </w:r>
            <w:r w:rsidR="0022520E">
              <w:rPr>
                <w:rFonts w:eastAsia="Times New Roman"/>
                <w:sz w:val="20"/>
                <w:szCs w:val="20"/>
                <w:lang w:eastAsia="sk-SK"/>
              </w:rPr>
              <w:t>,6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Udržať výmeru biotopu</w:t>
            </w:r>
          </w:p>
        </w:tc>
      </w:tr>
      <w:tr w:rsidR="0022520E" w:rsidRPr="00B6615B" w:rsidTr="00B760B0">
        <w:trPr>
          <w:trHeight w:val="60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sepium</w:t>
            </w:r>
            <w:proofErr w:type="spellEnd"/>
          </w:p>
        </w:tc>
      </w:tr>
      <w:tr w:rsidR="0022520E" w:rsidRPr="00B6615B" w:rsidTr="00B760B0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22520E" w:rsidRPr="00B6615B" w:rsidTr="00B760B0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menej ako 15%</w:t>
            </w:r>
            <w:r w:rsidR="00E65B6D">
              <w:rPr>
                <w:rFonts w:eastAsia="Times New Roman"/>
                <w:sz w:val="20"/>
                <w:szCs w:val="20"/>
                <w:lang w:eastAsia="sk-SK"/>
              </w:rPr>
              <w:t xml:space="preserve"> nepôvodných a menej ako 1 % inváznych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annua</w:t>
            </w:r>
            <w:proofErr w:type="spellEnd"/>
          </w:p>
        </w:tc>
      </w:tr>
    </w:tbl>
    <w:p w:rsidR="0022520E" w:rsidRDefault="0022520E" w:rsidP="00C86667"/>
    <w:p w:rsidR="0022520E" w:rsidRPr="00B6615B" w:rsidRDefault="0022520E" w:rsidP="0022520E">
      <w:pPr>
        <w:rPr>
          <w:szCs w:val="24"/>
        </w:rPr>
      </w:pPr>
      <w:r>
        <w:rPr>
          <w:szCs w:val="24"/>
        </w:rPr>
        <w:t xml:space="preserve">Zachovanie </w:t>
      </w:r>
      <w:r w:rsidRPr="00B6615B">
        <w:rPr>
          <w:szCs w:val="24"/>
        </w:rPr>
        <w:t xml:space="preserve">stavu biotopu </w:t>
      </w:r>
      <w:r w:rsidRPr="00B6615B">
        <w:rPr>
          <w:b/>
          <w:szCs w:val="24"/>
        </w:rPr>
        <w:t xml:space="preserve">Tr1 (6210) </w:t>
      </w:r>
      <w:r w:rsidRPr="00B6615B">
        <w:rPr>
          <w:rFonts w:eastAsia="Times New Roman"/>
          <w:b/>
          <w:szCs w:val="24"/>
          <w:lang w:eastAsia="sk-SK"/>
        </w:rPr>
        <w:t xml:space="preserve">Suchomilné travinno-bylinné a krovinové porasty na vápnitom substráte </w:t>
      </w:r>
      <w:r w:rsidRPr="00B6615B">
        <w:rPr>
          <w:rFonts w:eastAsia="Times New Roman"/>
          <w:szCs w:val="24"/>
          <w:lang w:eastAsia="sk-SK"/>
        </w:rPr>
        <w:t>za splnenia nasledovných atribútov: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2586"/>
        <w:gridCol w:w="1140"/>
        <w:gridCol w:w="1218"/>
        <w:gridCol w:w="4487"/>
      </w:tblGrid>
      <w:tr w:rsidR="0022520E" w:rsidRPr="00B6615B" w:rsidTr="00B760B0">
        <w:trPr>
          <w:trHeight w:val="705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954071" w:rsidRDefault="0022520E" w:rsidP="00B760B0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954071" w:rsidRDefault="0022520E" w:rsidP="00B760B0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954071" w:rsidRDefault="0022520E" w:rsidP="00B760B0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954071" w:rsidRDefault="0022520E" w:rsidP="00B760B0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22520E" w:rsidRPr="00B6615B" w:rsidTr="00B760B0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E65B6D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sz w:val="18"/>
                <w:szCs w:val="18"/>
                <w:lang w:eastAsia="sk-SK"/>
              </w:rPr>
              <w:t>2,9</w:t>
            </w:r>
            <w:r w:rsidR="0022520E" w:rsidRPr="00B6615B">
              <w:rPr>
                <w:rFonts w:eastAsia="Times New Roman"/>
                <w:sz w:val="18"/>
                <w:szCs w:val="18"/>
                <w:lang w:eastAsia="sk-SK"/>
              </w:rPr>
              <w:t xml:space="preserve"> ha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Min. udržať výmeru biotopu, príp. zvýšiť výmeru.</w:t>
            </w:r>
          </w:p>
        </w:tc>
      </w:tr>
      <w:tr w:rsidR="0022520E" w:rsidRPr="00B6615B" w:rsidTr="00B760B0">
        <w:trPr>
          <w:trHeight w:val="290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počet druhov/16 m</w:t>
            </w:r>
            <w:r w:rsidRPr="006C2556">
              <w:rPr>
                <w:rFonts w:eastAsia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Acosta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rhenana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Anthericum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ramosum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Asperula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cynanchica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Arabis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hirsuta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Brachypodium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pinnatum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Bromus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erectus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humilis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michelii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montana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Cirsium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pannonicum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Dorycnium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penthaphyllum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valesiaca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Inula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ensifolia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Koeleria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macrantha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Ononis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spinosa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phleoides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angustifolia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arenaria,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heptaphylla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laciniata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ochroleuca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varia,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Teucryum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chmaedrys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Thesium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linophyllon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pannonicus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alpestre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montanum</w:t>
            </w:r>
            <w:proofErr w:type="spellEnd"/>
          </w:p>
        </w:tc>
      </w:tr>
      <w:tr w:rsidR="0022520E" w:rsidRPr="00B6615B" w:rsidTr="00B760B0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menej ako 40 %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22520E" w:rsidRPr="00B6615B" w:rsidTr="00B760B0">
        <w:trPr>
          <w:trHeight w:val="85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B6615B">
              <w:rPr>
                <w:rFonts w:eastAsia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percento pokrytia/25 m</w:t>
            </w:r>
            <w:r w:rsidRPr="0024685E">
              <w:rPr>
                <w:rFonts w:eastAsia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menej ako 15</w:t>
            </w:r>
            <w:r>
              <w:rPr>
                <w:rFonts w:eastAsia="Times New Roman"/>
                <w:sz w:val="18"/>
                <w:szCs w:val="18"/>
                <w:lang w:eastAsia="sk-SK"/>
              </w:rPr>
              <w:t xml:space="preserve"> </w:t>
            </w: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%</w:t>
            </w:r>
            <w:r w:rsidR="00E65B6D">
              <w:rPr>
                <w:rFonts w:eastAsia="Times New Roman"/>
                <w:sz w:val="18"/>
                <w:szCs w:val="18"/>
                <w:lang w:eastAsia="sk-SK"/>
              </w:rPr>
              <w:t xml:space="preserve"> </w:t>
            </w:r>
            <w:r w:rsidR="00E65B6D">
              <w:rPr>
                <w:rFonts w:eastAsia="Times New Roman"/>
                <w:sz w:val="20"/>
                <w:szCs w:val="20"/>
                <w:lang w:eastAsia="sk-SK"/>
              </w:rPr>
              <w:t>nepôvodných a menej ako 1 % inváznych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520E" w:rsidRPr="00B6615B" w:rsidRDefault="0022520E" w:rsidP="00B760B0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Minimálne zastúpenie expanzívnych druhov</w:t>
            </w:r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epigejos</w:t>
            </w:r>
            <w:proofErr w:type="spellEnd"/>
          </w:p>
        </w:tc>
      </w:tr>
    </w:tbl>
    <w:p w:rsidR="0022520E" w:rsidRDefault="0022520E" w:rsidP="0022520E">
      <w:pPr>
        <w:rPr>
          <w:color w:val="000000"/>
          <w:szCs w:val="24"/>
        </w:rPr>
      </w:pPr>
    </w:p>
    <w:p w:rsidR="0059408B" w:rsidRDefault="00C86667" w:rsidP="0022520E">
      <w:r>
        <w:t xml:space="preserve">Zachovanie stavu druhu </w:t>
      </w:r>
      <w:proofErr w:type="spellStart"/>
      <w:r w:rsidR="0022520E">
        <w:rPr>
          <w:b/>
          <w:i/>
          <w:szCs w:val="24"/>
        </w:rPr>
        <w:t>Tephroseris</w:t>
      </w:r>
      <w:proofErr w:type="spellEnd"/>
      <w:r w:rsidR="0022520E">
        <w:rPr>
          <w:b/>
          <w:i/>
          <w:szCs w:val="24"/>
        </w:rPr>
        <w:t xml:space="preserve"> </w:t>
      </w:r>
      <w:proofErr w:type="spellStart"/>
      <w:r w:rsidR="0022520E">
        <w:rPr>
          <w:b/>
          <w:i/>
          <w:szCs w:val="24"/>
        </w:rPr>
        <w:t>longifolia</w:t>
      </w:r>
      <w:proofErr w:type="spellEnd"/>
      <w:r w:rsidR="0022520E">
        <w:rPr>
          <w:b/>
          <w:i/>
          <w:szCs w:val="24"/>
        </w:rPr>
        <w:t xml:space="preserve"> </w:t>
      </w:r>
      <w:proofErr w:type="spellStart"/>
      <w:r w:rsidR="0022520E">
        <w:rPr>
          <w:b/>
          <w:i/>
          <w:szCs w:val="24"/>
        </w:rPr>
        <w:t>ssp</w:t>
      </w:r>
      <w:proofErr w:type="spellEnd"/>
      <w:r w:rsidR="0022520E">
        <w:rPr>
          <w:b/>
          <w:i/>
          <w:szCs w:val="24"/>
        </w:rPr>
        <w:t xml:space="preserve">. </w:t>
      </w:r>
      <w:proofErr w:type="spellStart"/>
      <w:r w:rsidR="0022520E">
        <w:rPr>
          <w:b/>
          <w:i/>
          <w:szCs w:val="24"/>
        </w:rPr>
        <w:t>moravica</w:t>
      </w:r>
      <w:proofErr w:type="spellEnd"/>
      <w:r w:rsidR="0022520E">
        <w:rPr>
          <w:b/>
          <w:i/>
          <w:szCs w:val="24"/>
        </w:rPr>
        <w:t xml:space="preserve"> </w:t>
      </w:r>
      <w:r>
        <w:rPr>
          <w:szCs w:val="24"/>
        </w:rPr>
        <w:t>za splnenia nasledovných atribútov:</w:t>
      </w:r>
      <w:r w:rsidR="0022520E">
        <w:t xml:space="preserve"> </w:t>
      </w:r>
    </w:p>
    <w:tbl>
      <w:tblPr>
        <w:tblW w:w="9782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702"/>
        <w:gridCol w:w="1417"/>
        <w:gridCol w:w="1560"/>
        <w:gridCol w:w="5103"/>
      </w:tblGrid>
      <w:tr w:rsidR="0022520E" w:rsidRPr="009B7A4C" w:rsidTr="00B760B0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9B7A4C" w:rsidRDefault="0022520E" w:rsidP="00B760B0">
            <w:pPr>
              <w:rPr>
                <w:b/>
                <w:sz w:val="20"/>
                <w:szCs w:val="20"/>
                <w:lang w:eastAsia="sk-SK"/>
              </w:rPr>
            </w:pPr>
            <w:r w:rsidRPr="009B7A4C">
              <w:rPr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9B7A4C" w:rsidRDefault="0022520E" w:rsidP="00B760B0">
            <w:pPr>
              <w:rPr>
                <w:b/>
                <w:sz w:val="20"/>
                <w:szCs w:val="20"/>
                <w:lang w:eastAsia="sk-SK"/>
              </w:rPr>
            </w:pPr>
            <w:r w:rsidRPr="009B7A4C">
              <w:rPr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9B7A4C" w:rsidRDefault="0022520E" w:rsidP="00B760B0">
            <w:pPr>
              <w:rPr>
                <w:b/>
                <w:sz w:val="20"/>
                <w:szCs w:val="20"/>
                <w:lang w:eastAsia="sk-SK"/>
              </w:rPr>
            </w:pPr>
            <w:r w:rsidRPr="009B7A4C">
              <w:rPr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9B7A4C" w:rsidRDefault="0022520E" w:rsidP="00B760B0">
            <w:pPr>
              <w:rPr>
                <w:b/>
                <w:sz w:val="20"/>
                <w:szCs w:val="20"/>
                <w:lang w:eastAsia="sk-SK"/>
              </w:rPr>
            </w:pPr>
            <w:r w:rsidRPr="009B7A4C">
              <w:rPr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2520E" w:rsidRPr="00122744" w:rsidTr="00B760B0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122744" w:rsidRDefault="0022520E" w:rsidP="00B760B0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</w:t>
            </w:r>
            <w:r w:rsidRPr="00122744">
              <w:rPr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1D185A" w:rsidRDefault="0022520E" w:rsidP="00B760B0">
            <w:pPr>
              <w:rPr>
                <w:sz w:val="20"/>
                <w:szCs w:val="20"/>
                <w:lang w:eastAsia="sk-SK"/>
              </w:rPr>
            </w:pPr>
            <w:r w:rsidRPr="001D185A">
              <w:rPr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122744" w:rsidRDefault="0022520E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Min. 300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122744" w:rsidRDefault="0022520E" w:rsidP="0022520E">
            <w:pPr>
              <w:rPr>
                <w:sz w:val="20"/>
                <w:szCs w:val="20"/>
                <w:lang w:eastAsia="sk-SK"/>
              </w:rPr>
            </w:pPr>
            <w:r w:rsidRPr="00122744">
              <w:rPr>
                <w:sz w:val="20"/>
                <w:szCs w:val="20"/>
                <w:lang w:eastAsia="sk-SK"/>
              </w:rPr>
              <w:t xml:space="preserve">Potrebné zvýšenie početnosti populácie druhu, v súčasnosti sa odhaduje veľkosť </w:t>
            </w:r>
            <w:r>
              <w:rPr>
                <w:sz w:val="20"/>
                <w:szCs w:val="20"/>
                <w:lang w:eastAsia="sk-SK"/>
              </w:rPr>
              <w:t>100 až 5</w:t>
            </w:r>
            <w:r w:rsidRPr="00122744">
              <w:rPr>
                <w:sz w:val="20"/>
                <w:szCs w:val="20"/>
                <w:lang w:eastAsia="sk-SK"/>
              </w:rPr>
              <w:t>00 jedincov v rámci celého ÚEV.</w:t>
            </w:r>
          </w:p>
        </w:tc>
      </w:tr>
      <w:tr w:rsidR="00527A80" w:rsidRPr="00122744" w:rsidTr="00B760B0">
        <w:trPr>
          <w:trHeight w:val="4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80" w:rsidRPr="00CF3E6A" w:rsidRDefault="00527A80" w:rsidP="00527A80">
            <w:pPr>
              <w:rPr>
                <w:sz w:val="20"/>
                <w:szCs w:val="20"/>
                <w:lang w:eastAsia="sk-SK"/>
              </w:rPr>
            </w:pPr>
            <w:bookmarkStart w:id="0" w:name="_GoBack" w:colFirst="2" w:colLast="3"/>
            <w:r>
              <w:rPr>
                <w:sz w:val="20"/>
                <w:szCs w:val="20"/>
                <w:lang w:eastAsia="sk-SK"/>
              </w:rPr>
              <w:t>V</w:t>
            </w:r>
            <w:r w:rsidRPr="00122744">
              <w:rPr>
                <w:sz w:val="20"/>
                <w:szCs w:val="20"/>
                <w:lang w:eastAsia="sk-SK"/>
              </w:rPr>
              <w:t>eľkosť bioto</w:t>
            </w:r>
            <w:r w:rsidRPr="00CF3E6A">
              <w:rPr>
                <w:sz w:val="20"/>
                <w:szCs w:val="20"/>
                <w:lang w:eastAsia="sk-SK"/>
              </w:rPr>
              <w:t>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80" w:rsidRPr="001D185A" w:rsidRDefault="00527A80" w:rsidP="00527A80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h</w:t>
            </w:r>
            <w:r w:rsidRPr="001D185A">
              <w:rPr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80" w:rsidRPr="0042269D" w:rsidRDefault="00527A80" w:rsidP="00527A80">
            <w:pPr>
              <w:rPr>
                <w:sz w:val="20"/>
                <w:szCs w:val="20"/>
                <w:lang w:eastAsia="sk-SK"/>
              </w:rPr>
            </w:pPr>
            <w:r w:rsidRPr="0042269D">
              <w:rPr>
                <w:sz w:val="20"/>
                <w:szCs w:val="20"/>
                <w:lang w:eastAsia="sk-SK"/>
              </w:rPr>
              <w:t>0,4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80" w:rsidRPr="0042269D" w:rsidRDefault="00527A80" w:rsidP="00527A80">
            <w:pPr>
              <w:rPr>
                <w:sz w:val="20"/>
                <w:szCs w:val="20"/>
                <w:lang w:eastAsia="sk-SK"/>
              </w:rPr>
            </w:pPr>
            <w:r w:rsidRPr="0042269D">
              <w:rPr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527A80" w:rsidRPr="00122744" w:rsidTr="00B760B0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80" w:rsidRPr="00CF3E6A" w:rsidRDefault="00527A80" w:rsidP="00527A80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K</w:t>
            </w:r>
            <w:r w:rsidRPr="00122744">
              <w:rPr>
                <w:sz w:val="20"/>
                <w:szCs w:val="20"/>
                <w:lang w:eastAsia="sk-SK"/>
              </w:rPr>
              <w:t>valita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80" w:rsidRPr="00122744" w:rsidRDefault="00527A80" w:rsidP="00527A80">
            <w:pPr>
              <w:rPr>
                <w:sz w:val="20"/>
                <w:szCs w:val="20"/>
                <w:lang w:eastAsia="sk-SK"/>
              </w:rPr>
            </w:pPr>
            <w:r w:rsidRPr="001D185A">
              <w:rPr>
                <w:sz w:val="20"/>
                <w:szCs w:val="20"/>
                <w:lang w:eastAsia="sk-SK"/>
              </w:rPr>
              <w:t>Výskyt typických druh</w:t>
            </w:r>
            <w:r w:rsidRPr="00122744">
              <w:rPr>
                <w:sz w:val="20"/>
                <w:szCs w:val="20"/>
                <w:lang w:eastAsia="sk-SK"/>
              </w:rPr>
              <w:t>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80" w:rsidRPr="0042269D" w:rsidRDefault="00527A80" w:rsidP="00527A80">
            <w:pPr>
              <w:rPr>
                <w:sz w:val="20"/>
                <w:szCs w:val="20"/>
                <w:lang w:eastAsia="sk-SK"/>
              </w:rPr>
            </w:pPr>
            <w:r w:rsidRPr="0042269D">
              <w:rPr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80" w:rsidRPr="0042269D" w:rsidRDefault="00527A80" w:rsidP="00527A80">
            <w:pPr>
              <w:rPr>
                <w:i/>
                <w:sz w:val="20"/>
                <w:szCs w:val="20"/>
                <w:lang w:eastAsia="sk-SK"/>
              </w:rPr>
            </w:pP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Acetosa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pratensis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Agrostis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capillaris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Anthriscus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sylvestris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Anthyllis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vulneraria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Arrhenatherum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elatius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Betonica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officinalis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Briza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media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Campanula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patula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Colchicum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autumnale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Cruciata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glabra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Dactylis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glomerata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Daucus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carota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Dianthus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carthusianorum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Festuca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rubra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Filipendula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vulgaris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Fragaria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viridis,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Galium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mollugo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agg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.,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Galium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verum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Hypericum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maculatum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Hypericum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perforatum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Jacea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pratensis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Knautia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arvensis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Lathyrus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pratensis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Leontodon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hispidus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Leucanthemum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vulgare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Linum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catharticum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Lotus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corniculatus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Medicago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falcata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Onobrychis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viciifolia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Phleum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pratense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Pimpinella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saxifraga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Plantago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lanceolata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Primula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veris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Ranunculus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acris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Salvia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pratensis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Salvia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verticillata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Sanguisorba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minor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Tephroseris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longifolia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subsp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.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moravica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Tragopogon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orientalis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Trifolium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pratense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Trisetum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42269D">
              <w:rPr>
                <w:i/>
                <w:sz w:val="20"/>
                <w:szCs w:val="20"/>
                <w:shd w:val="clear" w:color="auto" w:fill="FAFBFA"/>
              </w:rPr>
              <w:t>flavescens</w:t>
            </w:r>
            <w:proofErr w:type="spellEnd"/>
            <w:r w:rsidRPr="0042269D">
              <w:rPr>
                <w:i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42269D">
              <w:rPr>
                <w:rFonts w:eastAsia="Times New Roman"/>
                <w:i/>
                <w:sz w:val="20"/>
                <w:szCs w:val="20"/>
                <w:lang w:eastAsia="sk-SK"/>
              </w:rPr>
              <w:t>Veronica</w:t>
            </w:r>
            <w:proofErr w:type="spellEnd"/>
            <w:r w:rsidRPr="0042269D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2269D">
              <w:rPr>
                <w:rFonts w:eastAsia="Times New Roman"/>
                <w:i/>
                <w:sz w:val="20"/>
                <w:szCs w:val="20"/>
                <w:lang w:eastAsia="sk-SK"/>
              </w:rPr>
              <w:t>chamaedrys</w:t>
            </w:r>
            <w:proofErr w:type="spellEnd"/>
            <w:r w:rsidRPr="0042269D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2269D">
              <w:rPr>
                <w:rFonts w:eastAsia="Times New Roman"/>
                <w:i/>
                <w:sz w:val="20"/>
                <w:szCs w:val="20"/>
                <w:lang w:eastAsia="sk-SK"/>
              </w:rPr>
              <w:t>Vicia</w:t>
            </w:r>
            <w:proofErr w:type="spellEnd"/>
            <w:r w:rsidRPr="0042269D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2269D">
              <w:rPr>
                <w:rFonts w:eastAsia="Times New Roman"/>
                <w:i/>
                <w:sz w:val="20"/>
                <w:szCs w:val="20"/>
                <w:lang w:eastAsia="sk-SK"/>
              </w:rPr>
              <w:t>cracca</w:t>
            </w:r>
            <w:proofErr w:type="spellEnd"/>
          </w:p>
        </w:tc>
      </w:tr>
      <w:bookmarkEnd w:id="0"/>
      <w:tr w:rsidR="0022520E" w:rsidRPr="002378BD" w:rsidTr="00B760B0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9563EF" w:rsidRDefault="0022520E" w:rsidP="00B760B0">
            <w:pPr>
              <w:rPr>
                <w:sz w:val="18"/>
                <w:szCs w:val="18"/>
              </w:rPr>
            </w:pPr>
            <w:r w:rsidRPr="00B54D39">
              <w:rPr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9563EF" w:rsidRDefault="0022520E" w:rsidP="00B760B0">
            <w:pPr>
              <w:rPr>
                <w:sz w:val="18"/>
                <w:szCs w:val="18"/>
              </w:rPr>
            </w:pPr>
            <w:r w:rsidRPr="00B54D39">
              <w:rPr>
                <w:color w:val="000000"/>
                <w:sz w:val="20"/>
                <w:szCs w:val="20"/>
                <w:lang w:eastAsia="sk-SK"/>
              </w:rPr>
              <w:t>Zastúpenie sukcesných drevín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Default="0022520E" w:rsidP="00B760B0">
            <w:pPr>
              <w:rPr>
                <w:sz w:val="18"/>
                <w:szCs w:val="18"/>
              </w:rPr>
            </w:pPr>
            <w:r w:rsidRPr="00B54D39">
              <w:rPr>
                <w:color w:val="000000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2378BD" w:rsidRDefault="0022520E" w:rsidP="00B760B0">
            <w:pPr>
              <w:rPr>
                <w:color w:val="333333"/>
                <w:sz w:val="20"/>
                <w:szCs w:val="20"/>
                <w:shd w:val="clear" w:color="auto" w:fill="FAFBFA"/>
              </w:rPr>
            </w:pPr>
            <w:r w:rsidRPr="00B54D39">
              <w:rPr>
                <w:color w:val="000000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B54D39">
              <w:rPr>
                <w:color w:val="000000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B54D39">
              <w:rPr>
                <w:color w:val="000000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22520E" w:rsidRPr="009B7A4C" w:rsidTr="00B760B0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E" w:rsidRDefault="0022520E" w:rsidP="00B760B0">
            <w:pPr>
              <w:rPr>
                <w:sz w:val="20"/>
                <w:szCs w:val="20"/>
                <w:lang w:eastAsia="sk-SK"/>
              </w:rPr>
            </w:pPr>
            <w:r w:rsidRPr="009563EF">
              <w:rPr>
                <w:sz w:val="18"/>
                <w:szCs w:val="18"/>
              </w:rPr>
              <w:lastRenderedPageBreak/>
              <w:t xml:space="preserve">Zastúpenie </w:t>
            </w:r>
            <w:proofErr w:type="spellStart"/>
            <w:r w:rsidRPr="009563EF">
              <w:rPr>
                <w:sz w:val="18"/>
                <w:szCs w:val="18"/>
              </w:rPr>
              <w:t>alochtónnych</w:t>
            </w:r>
            <w:proofErr w:type="spellEnd"/>
            <w:r w:rsidRPr="009563EF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20E" w:rsidRPr="001D185A" w:rsidRDefault="0022520E" w:rsidP="00B760B0">
            <w:pPr>
              <w:rPr>
                <w:sz w:val="20"/>
                <w:szCs w:val="20"/>
                <w:lang w:eastAsia="sk-SK"/>
              </w:rPr>
            </w:pPr>
            <w:r w:rsidRPr="009563EF">
              <w:rPr>
                <w:sz w:val="18"/>
                <w:szCs w:val="18"/>
              </w:rPr>
              <w:t>Percento  (%) pokrytia / 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20E" w:rsidRPr="00122744" w:rsidRDefault="0022520E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sz w:val="18"/>
                <w:szCs w:val="18"/>
              </w:rPr>
              <w:t>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0E" w:rsidRPr="009B7A4C" w:rsidRDefault="0022520E" w:rsidP="00B760B0">
            <w:pPr>
              <w:rPr>
                <w:i/>
                <w:color w:val="333333"/>
                <w:sz w:val="20"/>
                <w:szCs w:val="20"/>
                <w:shd w:val="clear" w:color="auto" w:fill="FAFBFA"/>
              </w:rPr>
            </w:pPr>
            <w:r w:rsidRPr="002378BD">
              <w:rPr>
                <w:color w:val="333333"/>
                <w:sz w:val="20"/>
                <w:szCs w:val="20"/>
                <w:shd w:val="clear" w:color="auto" w:fill="FAFBFA"/>
              </w:rPr>
              <w:t xml:space="preserve">Minimálne </w:t>
            </w:r>
            <w:r>
              <w:rPr>
                <w:color w:val="333333"/>
                <w:sz w:val="20"/>
                <w:szCs w:val="20"/>
                <w:shd w:val="clear" w:color="auto" w:fill="FAFBFA"/>
              </w:rPr>
              <w:t xml:space="preserve">(žiadne) </w:t>
            </w:r>
            <w:r w:rsidRPr="002378BD">
              <w:rPr>
                <w:color w:val="333333"/>
                <w:sz w:val="20"/>
                <w:szCs w:val="20"/>
                <w:shd w:val="clear" w:color="auto" w:fill="FAFBFA"/>
              </w:rPr>
              <w:t>zastúpenie</w:t>
            </w:r>
            <w:r>
              <w:rPr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>
              <w:rPr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22520E" w:rsidRDefault="0022520E" w:rsidP="0022520E"/>
    <w:sectPr w:rsidR="0022520E" w:rsidSect="00C8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42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A23"/>
    <w:rsid w:val="00013F59"/>
    <w:rsid w:val="00065DE6"/>
    <w:rsid w:val="000A4F43"/>
    <w:rsid w:val="000E4411"/>
    <w:rsid w:val="001C1B63"/>
    <w:rsid w:val="0022520E"/>
    <w:rsid w:val="00301394"/>
    <w:rsid w:val="0034343B"/>
    <w:rsid w:val="00343535"/>
    <w:rsid w:val="00350199"/>
    <w:rsid w:val="0036159F"/>
    <w:rsid w:val="0042269D"/>
    <w:rsid w:val="004F7434"/>
    <w:rsid w:val="0052262E"/>
    <w:rsid w:val="00527A80"/>
    <w:rsid w:val="00577A3C"/>
    <w:rsid w:val="0059408B"/>
    <w:rsid w:val="0060686A"/>
    <w:rsid w:val="00625435"/>
    <w:rsid w:val="0068078E"/>
    <w:rsid w:val="00682CE1"/>
    <w:rsid w:val="006C1712"/>
    <w:rsid w:val="00700F12"/>
    <w:rsid w:val="007162C0"/>
    <w:rsid w:val="00723DDF"/>
    <w:rsid w:val="00730E44"/>
    <w:rsid w:val="007A3944"/>
    <w:rsid w:val="007B2A99"/>
    <w:rsid w:val="007E17F5"/>
    <w:rsid w:val="008334A2"/>
    <w:rsid w:val="008C33F7"/>
    <w:rsid w:val="00921F6E"/>
    <w:rsid w:val="009248FD"/>
    <w:rsid w:val="00A025D2"/>
    <w:rsid w:val="00A6331E"/>
    <w:rsid w:val="00A64F08"/>
    <w:rsid w:val="00AF4D3C"/>
    <w:rsid w:val="00B07C22"/>
    <w:rsid w:val="00B81822"/>
    <w:rsid w:val="00BB3796"/>
    <w:rsid w:val="00C81A5C"/>
    <w:rsid w:val="00C86667"/>
    <w:rsid w:val="00CF2E50"/>
    <w:rsid w:val="00D01744"/>
    <w:rsid w:val="00D44504"/>
    <w:rsid w:val="00D5680A"/>
    <w:rsid w:val="00D67D7C"/>
    <w:rsid w:val="00DF063F"/>
    <w:rsid w:val="00E30B59"/>
    <w:rsid w:val="00E434CB"/>
    <w:rsid w:val="00E43A23"/>
    <w:rsid w:val="00E65B6D"/>
    <w:rsid w:val="00E93949"/>
    <w:rsid w:val="00EA1DAE"/>
    <w:rsid w:val="00F33CC8"/>
    <w:rsid w:val="00F560F1"/>
    <w:rsid w:val="00FB6957"/>
    <w:rsid w:val="00FE11A1"/>
    <w:rsid w:val="00FE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caption" w:uiPriority="0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Mutnanova</cp:lastModifiedBy>
  <cp:revision>3</cp:revision>
  <dcterms:created xsi:type="dcterms:W3CDTF">2023-08-18T06:25:00Z</dcterms:created>
  <dcterms:modified xsi:type="dcterms:W3CDTF">2024-01-22T14:39:00Z</dcterms:modified>
</cp:coreProperties>
</file>