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66C9" w14:textId="18AD4790" w:rsidR="004F7434" w:rsidRDefault="009469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SKUEV0009</w:t>
      </w:r>
      <w:r w:rsidR="00D27AEF" w:rsidRPr="00D27A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Koryto</w:t>
      </w:r>
    </w:p>
    <w:p w14:paraId="5A22EAC2" w14:textId="4A9F266B" w:rsidR="00D27AEF" w:rsidRDefault="00D27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08950818" w14:textId="77777777" w:rsidR="00D27AEF" w:rsidRPr="00775056" w:rsidRDefault="00D27AEF" w:rsidP="00D27AEF">
      <w:pPr>
        <w:pStyle w:val="Zkladntext"/>
        <w:widowControl w:val="0"/>
        <w:ind w:left="-142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775056">
        <w:rPr>
          <w:b w:val="0"/>
          <w:color w:val="000000"/>
        </w:rPr>
        <w:t xml:space="preserve">stavu </w:t>
      </w:r>
      <w:r w:rsidRPr="00EF2001">
        <w:rPr>
          <w:b w:val="0"/>
          <w:color w:val="000000"/>
        </w:rPr>
        <w:t>biotopu</w:t>
      </w:r>
      <w:r w:rsidRPr="00775056">
        <w:rPr>
          <w:color w:val="000000"/>
        </w:rPr>
        <w:t xml:space="preserve"> Ls</w:t>
      </w:r>
      <w:r>
        <w:rPr>
          <w:color w:val="000000"/>
        </w:rPr>
        <w:t>5</w:t>
      </w:r>
      <w:r w:rsidRPr="00775056">
        <w:rPr>
          <w:color w:val="000000"/>
        </w:rPr>
        <w:t xml:space="preserve">.1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9130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Bukové a jedľovo-bukové kvetnaté </w:t>
      </w:r>
      <w:r w:rsidRPr="00775056">
        <w:rPr>
          <w:bCs w:val="0"/>
          <w:color w:val="000000"/>
          <w:shd w:val="clear" w:color="auto" w:fill="FFFFFF"/>
        </w:rPr>
        <w:t>lesy</w:t>
      </w:r>
      <w:r w:rsidRPr="00775056">
        <w:rPr>
          <w:b w:val="0"/>
          <w:color w:val="000000"/>
        </w:rPr>
        <w:t xml:space="preserve"> 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128"/>
      </w:tblGrid>
      <w:tr w:rsidR="00D27AEF" w:rsidRPr="00354686" w14:paraId="03B7F9D1" w14:textId="77777777" w:rsidTr="0068696C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43E9C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2C1DD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3F0F0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EDCC4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D27AEF" w:rsidRPr="00354686" w14:paraId="6004085A" w14:textId="77777777" w:rsidTr="0068696C">
        <w:trPr>
          <w:trHeight w:val="27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76A49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55569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A4F80" w14:textId="2EB365D1" w:rsidR="00D27AEF" w:rsidRPr="00EF2001" w:rsidRDefault="009469A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8975F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držanie existujúcej výmery biotopu v ÚEV. </w:t>
            </w:r>
          </w:p>
        </w:tc>
      </w:tr>
      <w:tr w:rsidR="00D27AEF" w:rsidRPr="00354686" w14:paraId="02B39FA5" w14:textId="77777777" w:rsidTr="0068696C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153D1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93AB7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E4464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275DC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6B506857" w14:textId="77777777" w:rsidR="00D27AEF" w:rsidRPr="00EF2001" w:rsidRDefault="00D27AEF" w:rsidP="00686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Abies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&lt;40%,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&lt;25%,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BFAF45" w14:textId="77777777" w:rsidR="00D27AEF" w:rsidRPr="00EF2001" w:rsidRDefault="00D27AEF" w:rsidP="00686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minimálne 40%)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7AEF" w:rsidRPr="00354686" w14:paraId="67644D22" w14:textId="77777777" w:rsidTr="0068696C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02B8C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machorastov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372F3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DC3FE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5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4E0CE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4E7130A7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Asarum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europaeum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Athyrium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filix-femina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Bromus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benekenii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Carex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pilosa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Dentaria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bulbifera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enneaphyllos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glandulosa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Dryopteris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filix-mas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Festuca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altissima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drymeja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Galeobdolon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luteum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odoratum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Hordelymus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europaeus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Isopyrum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thalictroides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Lilium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martagon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nutans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Mercurialis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perennis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Myosotis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Oxalis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acetosella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Paris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quadrifolia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Poa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Polygonatum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verticillatum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Prenanthes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Pulmonaria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obscura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Rubus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hirtus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Salvia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glutinosa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Sanicula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europaea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Senecio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ovatus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Symphytum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tuberosum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amygdaloides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reichenbachiana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27AEF" w:rsidRPr="00354686" w14:paraId="40BC3291" w14:textId="77777777" w:rsidTr="0068696C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002B9" w14:textId="77777777" w:rsidR="00D27AEF" w:rsidRPr="003E242E" w:rsidRDefault="00D27AEF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51FDD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44504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87B3A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bylín (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parviflora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27AEF" w:rsidRPr="00354686" w14:paraId="7AB8CFC5" w14:textId="77777777" w:rsidTr="0068696C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CBDFE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14:paraId="2B418088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(stojace, ležiace kmene stromov hlavnej úrovne s limit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 hrúbkou d1,3 najmenej 30 cm</w:t>
            </w: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CB149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20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9E2C3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14:paraId="545D10E1" w14:textId="0CC135C4" w:rsidR="00D27AEF" w:rsidRPr="00EF2001" w:rsidRDefault="00F42CB0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D27AEF" w:rsidRPr="00EF2001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="00D27AEF" w:rsidRPr="00EF200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D70DE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Zabezpečenie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zvýšenia a následného </w:t>
            </w: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udržania prítomnosti odumretého dreva na ploche biotopu v danom objeme.</w:t>
            </w:r>
          </w:p>
          <w:p w14:paraId="48BFA20E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07ACDC" w14:textId="3FB311BE" w:rsidR="00D27AEF" w:rsidRDefault="00D27AEF" w:rsidP="00D27AEF">
      <w:pPr>
        <w:spacing w:line="240" w:lineRule="auto"/>
        <w:rPr>
          <w:rFonts w:ascii="Times New Roman" w:hAnsi="Times New Roman" w:cs="Times New Roman"/>
        </w:rPr>
      </w:pPr>
    </w:p>
    <w:p w14:paraId="6795CC1E" w14:textId="77777777" w:rsidR="009469AF" w:rsidRDefault="009469AF" w:rsidP="00946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2220E" w14:textId="77777777" w:rsidR="009469AF" w:rsidRDefault="009469AF" w:rsidP="00946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DD8E9" w14:textId="78C48AEA" w:rsidR="009469AF" w:rsidRPr="001C1D5C" w:rsidRDefault="009469AF" w:rsidP="00946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b/>
          <w:sz w:val="24"/>
          <w:szCs w:val="24"/>
        </w:rPr>
      </w:pPr>
      <w:r w:rsidRPr="001C1D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Zachovanie stavu biotopu </w:t>
      </w:r>
      <w:r w:rsidRPr="001C1D5C">
        <w:rPr>
          <w:rFonts w:ascii="Times New Roman" w:hAnsi="Times New Roman" w:cs="Times New Roman"/>
          <w:b/>
          <w:color w:val="000000"/>
          <w:sz w:val="24"/>
          <w:szCs w:val="24"/>
        </w:rPr>
        <w:t>Ls4 (</w:t>
      </w:r>
      <w:r w:rsidRPr="001C1D5C">
        <w:rPr>
          <w:rFonts w:ascii="Times New Roman" w:hAnsi="Times New Roman" w:cs="Times New Roman"/>
          <w:b/>
          <w:sz w:val="24"/>
          <w:szCs w:val="24"/>
        </w:rPr>
        <w:t xml:space="preserve">9180*) Lipovo-javorové sutinové lesy </w:t>
      </w:r>
      <w:r w:rsidRPr="001C1D5C">
        <w:rPr>
          <w:rFonts w:ascii="Times New Roman" w:hAnsi="Times New Roman" w:cs="Times New Roman"/>
          <w:sz w:val="24"/>
          <w:szCs w:val="24"/>
        </w:rPr>
        <w:t>za splnenia nasledovných atribútov:</w:t>
      </w:r>
      <w:r w:rsidRPr="001C1D5C">
        <w:rPr>
          <w:b/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1134"/>
        <w:gridCol w:w="5245"/>
      </w:tblGrid>
      <w:tr w:rsidR="009469AF" w:rsidRPr="00F84C71" w14:paraId="0C6F7BE1" w14:textId="77777777" w:rsidTr="0068696C">
        <w:trPr>
          <w:trHeight w:val="458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7136D" w14:textId="77777777" w:rsidR="009469AF" w:rsidRPr="001C1D5C" w:rsidRDefault="009469A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0F997" w14:textId="77777777" w:rsidR="009469AF" w:rsidRPr="001C1D5C" w:rsidRDefault="009469A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3F5A7" w14:textId="77777777" w:rsidR="009469AF" w:rsidRPr="001C1D5C" w:rsidRDefault="009469A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3D717" w14:textId="77777777" w:rsidR="009469AF" w:rsidRPr="001C1D5C" w:rsidRDefault="009469A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9469AF" w:rsidRPr="00622104" w14:paraId="14835879" w14:textId="77777777" w:rsidTr="0068696C">
        <w:trPr>
          <w:trHeight w:val="86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01725" w14:textId="77777777" w:rsidR="009469AF" w:rsidRPr="001C1D5C" w:rsidRDefault="009469A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4A6F5" w14:textId="77777777" w:rsidR="009469AF" w:rsidRPr="001C1D5C" w:rsidRDefault="009469A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5C78B" w14:textId="07EEB625" w:rsidR="009469AF" w:rsidRPr="00195AD8" w:rsidRDefault="009469A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4DE5C" w14:textId="77777777" w:rsidR="009469AF" w:rsidRPr="001C1D5C" w:rsidRDefault="009469A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Udržanie súčasnej výmery biotopu v ÚEV.</w:t>
            </w:r>
          </w:p>
        </w:tc>
      </w:tr>
      <w:tr w:rsidR="009469AF" w:rsidRPr="00622104" w14:paraId="64687C99" w14:textId="77777777" w:rsidTr="0068696C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5E6E9" w14:textId="77777777" w:rsidR="009469AF" w:rsidRPr="001C1D5C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84106" w14:textId="77777777" w:rsidR="009469AF" w:rsidRPr="001C1D5C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36EDA" w14:textId="77777777" w:rsidR="009469AF" w:rsidRPr="000502AE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2AE">
              <w:rPr>
                <w:rFonts w:ascii="Times New Roman" w:hAnsi="Times New Roman" w:cs="Times New Roman"/>
                <w:sz w:val="20"/>
                <w:szCs w:val="20"/>
              </w:rPr>
              <w:t>najmenej 90 %</w:t>
            </w:r>
          </w:p>
          <w:p w14:paraId="0C007BB6" w14:textId="77777777" w:rsidR="009469AF" w:rsidRPr="00195AD8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vertAlign w:val="superscript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6B8C8" w14:textId="77777777" w:rsidR="009469AF" w:rsidRPr="00EE50E2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0E2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763B84F4" w14:textId="77777777" w:rsidR="009469AF" w:rsidRPr="001C1D5C" w:rsidRDefault="009469AF" w:rsidP="00686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5. </w:t>
            </w:r>
            <w:proofErr w:type="spellStart"/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lvs</w:t>
            </w:r>
            <w:proofErr w:type="spellEnd"/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C1D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Abies</w:t>
            </w:r>
            <w:proofErr w:type="spellEnd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&lt;40%, </w:t>
            </w:r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A. 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platanoides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A. </w:t>
            </w:r>
            <w:proofErr w:type="spellStart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pseudoplatanus</w:t>
            </w:r>
            <w:proofErr w:type="spellEnd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Fraxinus</w:t>
            </w:r>
            <w:proofErr w:type="spellEnd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excelsior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Larix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decidua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&lt;15%,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Taxus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baccata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T. </w:t>
            </w:r>
            <w:proofErr w:type="spellStart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platyphyllos</w:t>
            </w:r>
            <w:proofErr w:type="spellEnd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69AF" w:rsidRPr="00622104" w14:paraId="6FAB3341" w14:textId="77777777" w:rsidTr="0068696C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0F272" w14:textId="77777777" w:rsidR="009469AF" w:rsidRPr="001C1D5C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1C1D5C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1B25D" w14:textId="77777777" w:rsidR="009469AF" w:rsidRPr="001C1D5C" w:rsidRDefault="009469AF" w:rsidP="0068696C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48768" w14:textId="77777777" w:rsidR="009469AF" w:rsidRPr="00195AD8" w:rsidRDefault="009469AF" w:rsidP="0068696C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34263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B70A8" w14:textId="77777777" w:rsidR="009469AF" w:rsidRPr="001C1D5C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212DA8A3" w14:textId="77777777" w:rsidR="009469AF" w:rsidRPr="00EF2001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Alliaria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petiolata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Campanula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rapunculoides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Chelidonium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majus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Lamium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maculatum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Lunaria</w:t>
            </w:r>
            <w:proofErr w:type="spellEnd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rediviva</w:t>
            </w:r>
            <w:proofErr w:type="spellEnd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Mercurialis</w:t>
            </w:r>
            <w:proofErr w:type="spellEnd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perenis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Polystichum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aculeatum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Urtica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dioica</w:t>
            </w:r>
            <w:proofErr w:type="spellEnd"/>
            <w:r w:rsidRPr="001C1D5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9469AF" w:rsidRPr="00622104" w14:paraId="6DA5869E" w14:textId="77777777" w:rsidTr="0068696C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A2DBE" w14:textId="77777777" w:rsidR="009469AF" w:rsidRPr="001C1D5C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 xml:space="preserve">Zastúpenie </w:t>
            </w:r>
            <w:proofErr w:type="spellStart"/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alochtónnych</w:t>
            </w:r>
            <w:proofErr w:type="spellEnd"/>
            <w:r w:rsidRPr="001C1D5C">
              <w:rPr>
                <w:rFonts w:ascii="Times New Roman" w:hAnsi="Times New Roman" w:cs="Times New Roman"/>
                <w:sz w:val="20"/>
                <w:szCs w:val="20"/>
              </w:rPr>
              <w:t xml:space="preserve"> druhov/inváznych druhov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97F81" w14:textId="77777777" w:rsidR="009469AF" w:rsidRPr="001C1D5C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D5B84" w14:textId="348658C4" w:rsidR="009469AF" w:rsidRPr="00EB10E1" w:rsidRDefault="00F42CB0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Menej ako 5 </w:t>
            </w:r>
            <w:r w:rsidR="009469AF" w:rsidRPr="00EB10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CC745" w14:textId="77777777" w:rsidR="009469AF" w:rsidRPr="00EB10E1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EB1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EB1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bylín</w:t>
            </w:r>
          </w:p>
        </w:tc>
      </w:tr>
      <w:tr w:rsidR="009469AF" w:rsidRPr="00622104" w14:paraId="1AD9CBCB" w14:textId="77777777" w:rsidTr="0068696C">
        <w:trPr>
          <w:trHeight w:val="56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A5277" w14:textId="77777777" w:rsidR="009469AF" w:rsidRPr="001C1D5C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Mŕtve drevo (stojace, ležiace kmene stromov hlavnej úrovne)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A4479" w14:textId="77777777" w:rsidR="009469AF" w:rsidRPr="001C1D5C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C1D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C1D5C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19401" w14:textId="77777777" w:rsidR="009469AF" w:rsidRPr="00934263" w:rsidRDefault="009469A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263">
              <w:rPr>
                <w:rFonts w:ascii="Times New Roman" w:hAnsi="Times New Roman" w:cs="Times New Roman"/>
                <w:sz w:val="20"/>
                <w:szCs w:val="20"/>
              </w:rPr>
              <w:t>viac ako 40</w:t>
            </w:r>
          </w:p>
          <w:p w14:paraId="0C679DC4" w14:textId="14820F58" w:rsidR="009469AF" w:rsidRPr="00195AD8" w:rsidRDefault="00F42CB0" w:rsidP="00F42C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9469AF" w:rsidRPr="00934263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C32E7" w14:textId="77777777" w:rsidR="009469AF" w:rsidRPr="00EF2001" w:rsidRDefault="009469AF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14:paraId="53BC7C6A" w14:textId="77777777" w:rsidR="009469AF" w:rsidRPr="00354686" w:rsidRDefault="009469AF" w:rsidP="00D27AEF">
      <w:pPr>
        <w:spacing w:line="240" w:lineRule="auto"/>
        <w:rPr>
          <w:rFonts w:ascii="Times New Roman" w:hAnsi="Times New Roman" w:cs="Times New Roman"/>
        </w:rPr>
      </w:pPr>
    </w:p>
    <w:sectPr w:rsidR="009469AF" w:rsidRPr="0035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EF"/>
    <w:rsid w:val="00141CEE"/>
    <w:rsid w:val="004F7434"/>
    <w:rsid w:val="009013C0"/>
    <w:rsid w:val="009469AF"/>
    <w:rsid w:val="00D27AEF"/>
    <w:rsid w:val="00F42CB0"/>
    <w:rsid w:val="00F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F9C0"/>
  <w15:chartTrackingRefBased/>
  <w15:docId w15:val="{7202E7B8-8191-47C7-BDFF-C47B4E49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27A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27A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FA5D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5D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5D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5D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5DB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2023-12-15T08:44:00Z</dcterms:created>
  <dcterms:modified xsi:type="dcterms:W3CDTF">2023-12-15T08:44:00Z</dcterms:modified>
</cp:coreProperties>
</file>